
<file path=[Content_Types].xml><?xml version="1.0" encoding="utf-8"?>
<Types xmlns="http://schemas.openxmlformats.org/package/2006/content-types">
  <Default Extension="xml" ContentType="application/xml"/>
  <Default Extension="tiff" ContentType="image/tif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38F8CE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28721641">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06DEBFB2">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13.100</w:t>
            </w:r>
            <w:r>
              <w:rPr>
                <w:rFonts w:ascii="黑体" w:hAnsi="黑体" w:eastAsia="黑体"/>
                <w:sz w:val="21"/>
                <w:szCs w:val="21"/>
              </w:rPr>
              <w:t xml:space="preserve"> </w:t>
            </w:r>
            <w:r>
              <w:rPr>
                <w:rFonts w:ascii="黑体" w:hAnsi="黑体" w:eastAsia="黑体"/>
                <w:sz w:val="21"/>
                <w:szCs w:val="21"/>
              </w:rPr>
              <w:fldChar w:fldCharType="end"/>
            </w:r>
            <w:bookmarkEnd w:id="0"/>
          </w:p>
        </w:tc>
      </w:tr>
      <w:tr w14:paraId="06332E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668C1922">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4ED21BEA">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 xml:space="preserve">C 50 </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4837E234">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14:paraId="19929B3B">
            <w:pPr>
              <w:pStyle w:val="49"/>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21</w:t>
            </w:r>
            <w:r>
              <w:fldChar w:fldCharType="end"/>
            </w:r>
            <w:bookmarkEnd w:id="3"/>
          </w:p>
        </w:tc>
      </w:tr>
    </w:tbl>
    <w:p w14:paraId="6AC5D0BE">
      <w:pPr>
        <w:pStyle w:val="50"/>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辽宁省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5FF2183E">
      <w:pPr>
        <w:pStyle w:val="195"/>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lang w:val="fr-FR"/>
        </w:rPr>
        <w:t>21</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4CF980D4">
      <w:pPr>
        <w:pStyle w:val="196"/>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58604567">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4445" r="0" b="5080"/>
                <wp:wrapNone/>
                <wp:docPr id="1"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id="直接连接符 73"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J4NJ&#10;ltgAAAAMAQAADwAAAAAAAAABACAAAAAiAAAAZHJzL2Rvd25yZXYueG1sUEsBAhQAFAAAAAgAh07i&#10;QGYQhibpAQAAuQMAAA4AAAAAAAAAAQAgAAAAJwEAAGRycy9lMm9Eb2MueG1sUEsFBgAAAAAGAAYA&#10;WQEAAIIFAAAAAA==&#10;">
                <v:fill on="f" focussize="0,0"/>
                <v:stroke color="#000000" joinstyle="round"/>
                <v:imagedata o:title=""/>
                <o:lock v:ext="edit" aspectratio="f"/>
              </v:line>
            </w:pict>
          </mc:Fallback>
        </mc:AlternateContent>
      </w:r>
    </w:p>
    <w:p w14:paraId="0AABA7FF">
      <w:pPr>
        <w:pStyle w:val="50"/>
        <w:framePr w:w="9639" w:h="6976" w:hRule="exact" w:hSpace="0" w:vSpace="0" w:wrap="around" w:hAnchor="page" w:y="6408"/>
        <w:jc w:val="center"/>
        <w:rPr>
          <w:rFonts w:ascii="黑体" w:hAnsi="黑体" w:eastAsia="黑体"/>
          <w:b w:val="0"/>
          <w:bCs w:val="0"/>
          <w:w w:val="100"/>
        </w:rPr>
      </w:pPr>
    </w:p>
    <w:p w14:paraId="30E15567">
      <w:pPr>
        <w:pStyle w:val="197"/>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艾滋病病毒非职业暴露后预防门诊</w:t>
      </w:r>
      <w:r>
        <w:cr/>
      </w:r>
      <w:r>
        <w:t>管理技术规范</w:t>
      </w:r>
      <w:r>
        <w:fldChar w:fldCharType="end"/>
      </w:r>
      <w:bookmarkEnd w:id="9"/>
    </w:p>
    <w:p w14:paraId="6EE17392">
      <w:pPr>
        <w:framePr w:w="9639" w:h="6974" w:hRule="exact" w:wrap="around" w:vAnchor="page" w:hAnchor="page" w:x="1419" w:y="6408" w:anchorLock="1"/>
        <w:ind w:left="-1418"/>
      </w:pPr>
    </w:p>
    <w:p w14:paraId="2EFB5FF5">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hint="eastAsia" w:eastAsia="黑体"/>
          <w:szCs w:val="28"/>
        </w:rPr>
        <w:t>Technical Specification for Management of Outpatient Clinics Providing HIV Non-occupational Post-exposure Prophylaxis</w:t>
      </w:r>
      <w:r>
        <w:rPr>
          <w:rFonts w:eastAsia="黑体"/>
          <w:szCs w:val="28"/>
        </w:rPr>
        <w:t>     </w:t>
      </w:r>
      <w:r>
        <w:rPr>
          <w:rFonts w:eastAsia="黑体"/>
          <w:szCs w:val="28"/>
        </w:rPr>
        <w:fldChar w:fldCharType="end"/>
      </w:r>
      <w:bookmarkEnd w:id="10"/>
    </w:p>
    <w:p w14:paraId="44652D2F">
      <w:pPr>
        <w:framePr w:w="9639" w:h="6974" w:hRule="exact" w:wrap="around" w:vAnchor="page" w:hAnchor="page" w:x="1419" w:y="6408" w:anchorLock="1"/>
        <w:spacing w:line="760" w:lineRule="exact"/>
        <w:ind w:left="-1418"/>
      </w:pPr>
    </w:p>
    <w:p w14:paraId="3EE50B00">
      <w:pPr>
        <w:pStyle w:val="125"/>
        <w:framePr w:w="9639" w:h="6974" w:hRule="exact" w:wrap="around" w:vAnchor="page" w:hAnchor="page" w:x="1419" w:y="6408" w:anchorLock="1"/>
        <w:textAlignment w:val="bottom"/>
        <w:rPr>
          <w:rFonts w:eastAsia="黑体"/>
          <w:szCs w:val="28"/>
        </w:rPr>
      </w:pPr>
    </w:p>
    <w:p w14:paraId="0B51887C">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249659B1">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422D1DF7">
      <w:pPr>
        <w:pStyle w:val="125"/>
        <w:framePr w:w="9639" w:h="6974" w:hRule="exact" w:wrap="around" w:vAnchor="page" w:hAnchor="page" w:x="1419" w:y="6408" w:anchorLock="1"/>
        <w:spacing w:beforeLines="300"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2F9B3A94">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192EA005">
      <w:pPr>
        <w:pStyle w:val="19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7CBE5E8F">
      <w:pPr>
        <w:pStyle w:val="151"/>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辽宁省市场监督管理局</w:t>
      </w:r>
      <w:r>
        <w:rPr>
          <w:rFonts w:hAnsi="黑体"/>
          <w:w w:val="100"/>
          <w:sz w:val="28"/>
        </w:rPr>
        <w:fldChar w:fldCharType="end"/>
      </w:r>
      <w:bookmarkEnd w:id="20"/>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20826E74">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4445" r="0" b="5080"/>
                <wp:wrapNone/>
                <wp:docPr id="2"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id="直接连接符 5"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szHPvX&#10;AAAADgEAAA8AAAAAAAAAAQAgAAAAIgAAAGRycy9kb3ducmV2LnhtbFBLAQIUABQAAAAIAIdO4kDN&#10;6QEs6AEAALgDAAAOAAAAAAAAAAEAIAAAACYBAABkcnMvZTJvRG9jLnhtbFBLBQYAAAAABgAGAFkB&#10;AACABQAAAAA=&#10;">
                <v:fill on="f" focussize="0,0"/>
                <v:stroke color="#000000" joinstyle="round"/>
                <v:imagedata o:title=""/>
                <o:lock v:ext="edit" aspectratio="f"/>
                <w10:anchorlock/>
              </v:line>
            </w:pict>
          </mc:Fallback>
        </mc:AlternateContent>
      </w:r>
    </w:p>
    <w:p w14:paraId="1F0619EB">
      <w:pPr>
        <w:pStyle w:val="89"/>
        <w:spacing w:after="468"/>
      </w:pPr>
      <w:bookmarkStart w:id="21" w:name="BookMark2"/>
      <w:r>
        <w:rPr>
          <w:rFonts w:hint="eastAsia"/>
          <w:spacing w:val="320"/>
        </w:rPr>
        <w:t>前</w:t>
      </w:r>
      <w:r>
        <w:rPr>
          <w:rFonts w:hint="eastAsia"/>
        </w:rPr>
        <w:t>言</w:t>
      </w:r>
    </w:p>
    <w:p w14:paraId="2B8AEED5">
      <w:pPr>
        <w:pStyle w:val="56"/>
        <w:ind w:firstLine="420"/>
      </w:pPr>
      <w:r>
        <w:rPr>
          <w:rFonts w:hint="eastAsia"/>
        </w:rPr>
        <w:t>本文件按照GB/T 1.1—2020《标准化工作导则  第1部分：标准化文件的结构和起草规则》的规定起草。</w:t>
      </w:r>
    </w:p>
    <w:p w14:paraId="721C5A57">
      <w:pPr>
        <w:pStyle w:val="56"/>
        <w:ind w:firstLine="420"/>
      </w:pPr>
      <w:r>
        <w:rPr>
          <w:rFonts w:hint="eastAsia"/>
        </w:rPr>
        <w:t>请注意本文件的某些内容可能涉及专利。本文件的发布机构不承担识别专利的责任。</w:t>
      </w:r>
    </w:p>
    <w:p w14:paraId="1E65C303">
      <w:pPr>
        <w:pStyle w:val="56"/>
        <w:ind w:firstLine="420"/>
      </w:pPr>
      <w:r>
        <w:rPr>
          <w:rFonts w:hint="eastAsia"/>
        </w:rPr>
        <w:t>本文件由辽宁省疾病预防控制中心提出。</w:t>
      </w:r>
    </w:p>
    <w:p w14:paraId="21484D42">
      <w:pPr>
        <w:pStyle w:val="56"/>
        <w:ind w:firstLine="420"/>
      </w:pPr>
      <w:r>
        <w:rPr>
          <w:rFonts w:hint="eastAsia"/>
        </w:rPr>
        <w:t>本文件由辽宁省卫生健康</w:t>
      </w:r>
      <w:r>
        <w:t>委员会</w:t>
      </w:r>
      <w:r>
        <w:rPr>
          <w:rFonts w:hint="eastAsia"/>
        </w:rPr>
        <w:t>归口。</w:t>
      </w:r>
    </w:p>
    <w:p w14:paraId="32BF88D6">
      <w:pPr>
        <w:pStyle w:val="56"/>
        <w:ind w:firstLine="420"/>
      </w:pPr>
      <w:r>
        <w:rPr>
          <w:rFonts w:hint="eastAsia"/>
        </w:rPr>
        <w:t>本文件起草单位：辽宁省疾病预防控制中心、中国医科大学附属第一医院、沈阳市疾病预防控制中心、</w:t>
      </w:r>
      <w:r>
        <w:rPr>
          <w:rFonts w:hint="eastAsia"/>
          <w:highlight w:val="none"/>
          <w:lang w:val="en-US" w:eastAsia="zh-CN"/>
        </w:rPr>
        <w:t>大连市公共卫生临床中心、</w:t>
      </w:r>
      <w:r>
        <w:rPr>
          <w:rFonts w:hint="eastAsia"/>
          <w:highlight w:val="none"/>
        </w:rPr>
        <w:t>丹</w:t>
      </w:r>
      <w:r>
        <w:rPr>
          <w:rFonts w:hint="eastAsia"/>
        </w:rPr>
        <w:t xml:space="preserve">东市疾病预防控制中心、锦州市传染病院 、营口市疾病预防控制中心、阜新市疾病预防控制中心、朝阳市疾病预防控制中心 </w:t>
      </w:r>
    </w:p>
    <w:p w14:paraId="3B148C9E">
      <w:pPr>
        <w:pStyle w:val="56"/>
        <w:ind w:firstLine="420"/>
        <w:rPr>
          <w:rFonts w:hint="eastAsia"/>
        </w:rPr>
      </w:pPr>
      <w:r>
        <w:rPr>
          <w:rFonts w:hint="eastAsia"/>
        </w:rPr>
        <w:t>本文件主要起草人：孙笠翔、丁海波、吕娅妮、孙英伟、刘杨、李静雅、周丹、宋巍、关海英、刘丽丽、马玉霞、申申、穆</w:t>
      </w:r>
      <w:r>
        <w:rPr>
          <w:rFonts w:hint="eastAsia"/>
          <w:highlight w:val="none"/>
        </w:rPr>
        <w:t>金萍、</w:t>
      </w:r>
      <w:r>
        <w:rPr>
          <w:rFonts w:hint="eastAsia"/>
          <w:highlight w:val="none"/>
          <w:lang w:val="en-US" w:eastAsia="zh-CN"/>
        </w:rPr>
        <w:t>王汝刚、</w:t>
      </w:r>
      <w:r>
        <w:rPr>
          <w:rFonts w:hint="eastAsia"/>
          <w:highlight w:val="none"/>
        </w:rPr>
        <w:t>赵</w:t>
      </w:r>
      <w:r>
        <w:rPr>
          <w:rFonts w:hint="eastAsia"/>
        </w:rPr>
        <w:t>砚</w:t>
      </w:r>
      <w:bookmarkStart w:id="46" w:name="_GoBack"/>
      <w:bookmarkEnd w:id="46"/>
    </w:p>
    <w:p w14:paraId="03B09B11">
      <w:pPr>
        <w:pStyle w:val="56"/>
        <w:ind w:firstLine="420"/>
      </w:pPr>
    </w:p>
    <w:p w14:paraId="16546C76">
      <w:pPr>
        <w:pStyle w:val="56"/>
        <w:ind w:firstLine="420"/>
      </w:pPr>
    </w:p>
    <w:p w14:paraId="3F8A417C">
      <w:pPr>
        <w:pStyle w:val="56"/>
        <w:ind w:firstLine="420"/>
        <w:sectPr>
          <w:headerReference r:id="rId11" w:type="default"/>
          <w:footerReference r:id="rId13" w:type="default"/>
          <w:headerReference r:id="rId12" w:type="even"/>
          <w:pgSz w:w="11906" w:h="16838"/>
          <w:pgMar w:top="1928" w:right="1134" w:bottom="1134" w:left="1134" w:header="1418" w:footer="1134" w:gutter="284"/>
          <w:pgNumType w:fmt="upperRoman" w:start="1"/>
          <w:cols w:space="425" w:num="1"/>
          <w:formProt w:val="0"/>
          <w:docGrid w:type="lines" w:linePitch="312" w:charSpace="0"/>
        </w:sectPr>
      </w:pPr>
    </w:p>
    <w:bookmarkEnd w:id="21"/>
    <w:p w14:paraId="686F39A9">
      <w:pPr>
        <w:spacing w:line="20" w:lineRule="exact"/>
        <w:jc w:val="center"/>
        <w:rPr>
          <w:rFonts w:ascii="黑体" w:hAnsi="黑体" w:eastAsia="黑体"/>
          <w:sz w:val="32"/>
          <w:szCs w:val="32"/>
        </w:rPr>
      </w:pPr>
      <w:bookmarkStart w:id="22" w:name="BookMark4"/>
    </w:p>
    <w:p w14:paraId="4B77EFA1">
      <w:pPr>
        <w:spacing w:line="20" w:lineRule="exact"/>
        <w:jc w:val="center"/>
        <w:rPr>
          <w:rFonts w:ascii="黑体" w:hAnsi="黑体" w:eastAsia="黑体"/>
          <w:sz w:val="32"/>
          <w:szCs w:val="32"/>
        </w:rPr>
      </w:pPr>
    </w:p>
    <w:sdt>
      <w:sdtPr>
        <w:tag w:val="NEW_STAND_NAME"/>
        <w:id w:val="595910757"/>
        <w:lock w:val="sdtLocked"/>
        <w:placeholder>
          <w:docPart w:val="67EB5A711DDC4860B0547BCE91A2D44B"/>
        </w:placeholder>
      </w:sdtPr>
      <w:sdtContent>
        <w:p w14:paraId="5A57891F">
          <w:pPr>
            <w:pStyle w:val="177"/>
            <w:spacing w:beforeLines="1" w:afterLines="1"/>
          </w:pPr>
          <w:bookmarkStart w:id="23" w:name="NEW_STAND_NAME"/>
          <w:r>
            <w:rPr>
              <w:rFonts w:hint="eastAsia"/>
            </w:rPr>
            <w:t>艾滋病病毒非职业暴露后预防门诊</w:t>
          </w:r>
        </w:p>
        <w:p w14:paraId="74B4C745">
          <w:pPr>
            <w:pStyle w:val="177"/>
            <w:spacing w:beforeLines="1" w:after="680"/>
          </w:pPr>
          <w:r>
            <w:rPr>
              <w:rFonts w:hint="eastAsia"/>
            </w:rPr>
            <w:t>管理技术规范</w:t>
          </w:r>
        </w:p>
      </w:sdtContent>
    </w:sdt>
    <w:bookmarkEnd w:id="23"/>
    <w:p w14:paraId="4946E8E9">
      <w:pPr>
        <w:pStyle w:val="104"/>
        <w:spacing w:before="312" w:after="312"/>
      </w:pPr>
      <w:bookmarkStart w:id="24" w:name="_Toc24884218"/>
      <w:bookmarkStart w:id="25" w:name="_Toc17233325"/>
      <w:bookmarkStart w:id="26" w:name="_Toc24884211"/>
      <w:bookmarkStart w:id="27" w:name="_Toc17233333"/>
      <w:bookmarkStart w:id="28" w:name="_Toc26986771"/>
      <w:bookmarkStart w:id="29" w:name="_Toc26986530"/>
      <w:bookmarkStart w:id="30" w:name="_Toc26718930"/>
      <w:bookmarkStart w:id="31" w:name="_Toc97191423"/>
      <w:bookmarkStart w:id="32" w:name="_Toc26648465"/>
      <w:r>
        <w:rPr>
          <w:rFonts w:hint="eastAsia"/>
        </w:rPr>
        <w:t>范围</w:t>
      </w:r>
      <w:bookmarkEnd w:id="24"/>
      <w:bookmarkEnd w:id="25"/>
      <w:bookmarkEnd w:id="26"/>
      <w:bookmarkEnd w:id="27"/>
      <w:bookmarkEnd w:id="28"/>
      <w:bookmarkEnd w:id="29"/>
      <w:bookmarkEnd w:id="30"/>
      <w:bookmarkEnd w:id="31"/>
      <w:bookmarkEnd w:id="32"/>
    </w:p>
    <w:p w14:paraId="53A6CBFE">
      <w:pPr>
        <w:pStyle w:val="56"/>
        <w:ind w:firstLine="420"/>
      </w:pPr>
      <w:bookmarkStart w:id="33" w:name="_Toc26718931"/>
      <w:bookmarkStart w:id="34" w:name="_Toc26648466"/>
      <w:bookmarkStart w:id="35" w:name="_Toc26986531"/>
      <w:bookmarkStart w:id="36" w:name="_Toc97191424"/>
      <w:bookmarkStart w:id="37" w:name="_Toc17233326"/>
      <w:bookmarkStart w:id="38" w:name="_Toc26986772"/>
      <w:bookmarkStart w:id="39" w:name="_Toc17233334"/>
      <w:bookmarkStart w:id="40" w:name="_Toc24884219"/>
      <w:bookmarkStart w:id="41" w:name="_Toc24884212"/>
      <w:r>
        <w:rPr>
          <w:rFonts w:hint="eastAsia"/>
        </w:rPr>
        <w:t>本文件规定了辽宁省艾滋病病毒非职业暴露后预防门诊进行预防的基本原则、基本要求、处置流程等方面的要求。</w:t>
      </w:r>
    </w:p>
    <w:p w14:paraId="2ACA331E">
      <w:pPr>
        <w:pStyle w:val="56"/>
        <w:ind w:firstLine="420"/>
      </w:pPr>
      <w:r>
        <w:rPr>
          <w:rFonts w:hint="eastAsia"/>
        </w:rPr>
        <w:t>本文件适用于各级卫生医疗机构开展艾滋病病毒非职业暴露后预防。</w:t>
      </w:r>
    </w:p>
    <w:p w14:paraId="4A04E5A6">
      <w:pPr>
        <w:pStyle w:val="104"/>
        <w:spacing w:before="312" w:after="312"/>
      </w:pPr>
      <w:r>
        <w:rPr>
          <w:rFonts w:hint="eastAsia"/>
        </w:rPr>
        <w:t>规范性引用文件</w:t>
      </w:r>
      <w:bookmarkEnd w:id="33"/>
      <w:bookmarkEnd w:id="34"/>
      <w:bookmarkEnd w:id="35"/>
      <w:bookmarkEnd w:id="36"/>
      <w:bookmarkEnd w:id="37"/>
      <w:bookmarkEnd w:id="38"/>
      <w:bookmarkEnd w:id="39"/>
      <w:bookmarkEnd w:id="40"/>
      <w:bookmarkEnd w:id="41"/>
    </w:p>
    <w:sdt>
      <w:sdtPr>
        <w:rPr>
          <w:rFonts w:hint="eastAsia"/>
        </w:rPr>
        <w:id w:val="715848253"/>
        <w:placeholder>
          <w:docPart w:val="A4B3085565F04B8584201099CC0C74B3"/>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289C3AB2">
          <w:pPr>
            <w:pStyle w:val="56"/>
            <w:ind w:firstLine="420"/>
          </w:pPr>
          <w:r>
            <w:rPr>
              <w:rFonts w:hint="eastAsia"/>
            </w:rPr>
            <w:t>本文件没有规范性引用文件。</w:t>
          </w:r>
        </w:p>
      </w:sdtContent>
    </w:sdt>
    <w:p w14:paraId="6B131137">
      <w:pPr>
        <w:pStyle w:val="104"/>
        <w:spacing w:before="312" w:after="312"/>
      </w:pPr>
      <w:bookmarkStart w:id="42" w:name="_Toc97191425"/>
      <w:r>
        <w:rPr>
          <w:rFonts w:hint="eastAsia"/>
          <w:szCs w:val="21"/>
        </w:rPr>
        <w:t>术语和定义</w:t>
      </w:r>
      <w:bookmarkEnd w:id="42"/>
    </w:p>
    <w:sdt>
      <w:sdtPr>
        <w:id w:val="-1909835108"/>
        <w:placeholder>
          <w:docPart w:val="21FDD3E3EC794080BF60503C1F1289C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30DA134E">
          <w:pPr>
            <w:pStyle w:val="56"/>
            <w:ind w:firstLine="420"/>
          </w:pPr>
          <w:bookmarkStart w:id="43" w:name="_Toc26986532"/>
          <w:bookmarkEnd w:id="43"/>
          <w:r>
            <w:t>下列术语和定义适用于本文件。</w:t>
          </w:r>
        </w:p>
      </w:sdtContent>
    </w:sdt>
    <w:p w14:paraId="011E602B">
      <w:pPr>
        <w:pStyle w:val="223"/>
        <w:ind w:left="420" w:hanging="420" w:hangingChars="200"/>
        <w:rPr>
          <w:rFonts w:ascii="黑体" w:hAnsi="黑体" w:eastAsia="黑体"/>
        </w:rPr>
      </w:pPr>
      <w:r>
        <w:rPr>
          <w:rFonts w:ascii="黑体" w:hAnsi="黑体" w:eastAsia="黑体"/>
        </w:rPr>
        <w:br w:type="textWrapping"/>
      </w:r>
      <w:r>
        <w:rPr>
          <w:rFonts w:hint="eastAsia" w:ascii="黑体" w:hAnsi="黑体" w:eastAsia="黑体"/>
        </w:rPr>
        <w:t xml:space="preserve">暴露后预防 </w:t>
      </w:r>
      <w:r>
        <w:rPr>
          <w:rFonts w:hint="eastAsia" w:ascii="黑体" w:hAnsi="黑体" w:eastAsia="黑体"/>
          <w:lang w:val="en-US" w:eastAsia="zh-CN"/>
        </w:rPr>
        <w:t>p</w:t>
      </w:r>
      <w:r>
        <w:rPr>
          <w:rFonts w:hint="eastAsia" w:ascii="黑体" w:hAnsi="黑体" w:eastAsia="黑体"/>
        </w:rPr>
        <w:t>ost-exposure prophylaxis, PEP</w:t>
      </w:r>
    </w:p>
    <w:p w14:paraId="3488793F">
      <w:pPr>
        <w:pStyle w:val="56"/>
        <w:ind w:firstLine="420"/>
      </w:pPr>
      <w:r>
        <w:rPr>
          <w:rFonts w:hint="eastAsia"/>
        </w:rPr>
        <w:t xml:space="preserve">尚未感染HIV的人员，在暴露于高感染风险后，如与HIV感染者或感染状态不明者发生体液交换行为，及早（不超过 72 小时）服用特定的抗病毒药物，降低HIV感染风险的方法。 </w:t>
      </w:r>
    </w:p>
    <w:p w14:paraId="4C395B2E">
      <w:pPr>
        <w:pStyle w:val="223"/>
        <w:ind w:left="420" w:hanging="420" w:hangingChars="200"/>
        <w:rPr>
          <w:rFonts w:ascii="黑体" w:hAnsi="黑体" w:eastAsia="黑体"/>
        </w:rPr>
      </w:pPr>
      <w:r>
        <w:rPr>
          <w:rFonts w:ascii="黑体" w:hAnsi="黑体" w:eastAsia="黑体"/>
        </w:rPr>
        <w:br w:type="textWrapping"/>
      </w:r>
      <w:r>
        <w:rPr>
          <w:rFonts w:hint="eastAsia" w:ascii="黑体" w:hAnsi="黑体" w:eastAsia="黑体"/>
        </w:rPr>
        <w:t xml:space="preserve">暴露风险评估 PEP </w:t>
      </w:r>
      <w:r>
        <w:rPr>
          <w:rFonts w:hint="eastAsia" w:ascii="黑体" w:hAnsi="黑体" w:eastAsia="黑体"/>
          <w:lang w:val="en-US" w:eastAsia="zh-CN"/>
        </w:rPr>
        <w:t>c</w:t>
      </w:r>
      <w:r>
        <w:rPr>
          <w:rFonts w:hint="eastAsia" w:ascii="黑体" w:hAnsi="黑体" w:eastAsia="黑体"/>
        </w:rPr>
        <w:t>ase consultation</w:t>
      </w:r>
    </w:p>
    <w:p w14:paraId="79B5F566">
      <w:pPr>
        <w:pStyle w:val="56"/>
        <w:ind w:firstLine="420"/>
      </w:pPr>
      <w:r>
        <w:rPr>
          <w:rFonts w:hint="eastAsia"/>
        </w:rPr>
        <w:t>为提供暴露后预防用药所采取的暴露源分析（3.3）和行为风险度评估（3.4）两方面进行综合判断的评估活动。</w:t>
      </w:r>
    </w:p>
    <w:p w14:paraId="47E84239">
      <w:pPr>
        <w:pStyle w:val="223"/>
        <w:ind w:left="420" w:hanging="420" w:hangingChars="200"/>
        <w:rPr>
          <w:rFonts w:ascii="黑体" w:hAnsi="黑体" w:eastAsia="黑体"/>
        </w:rPr>
      </w:pPr>
      <w:r>
        <w:rPr>
          <w:rFonts w:ascii="黑体" w:hAnsi="黑体" w:eastAsia="黑体"/>
        </w:rPr>
        <w:br w:type="textWrapping"/>
      </w:r>
      <w:r>
        <w:rPr>
          <w:rFonts w:hint="eastAsia" w:ascii="黑体" w:hAnsi="黑体" w:eastAsia="黑体"/>
        </w:rPr>
        <w:t>暴露源分析</w:t>
      </w:r>
      <w:r>
        <w:rPr>
          <w:rFonts w:hint="eastAsia" w:ascii="黑体" w:hAnsi="黑体" w:eastAsia="黑体"/>
          <w:lang w:val="en-US" w:eastAsia="zh-CN"/>
        </w:rPr>
        <w:t xml:space="preserve"> exposure source analysis</w:t>
      </w:r>
    </w:p>
    <w:p w14:paraId="03DC1574">
      <w:pPr>
        <w:pStyle w:val="56"/>
        <w:ind w:firstLine="420"/>
      </w:pPr>
      <w:r>
        <w:rPr>
          <w:rFonts w:hint="eastAsia"/>
        </w:rPr>
        <w:t>对求询者的伙伴（同性、异性性伙伴或共用针具吸毒伙伴）进行暴露与感染风险分析。</w:t>
      </w:r>
    </w:p>
    <w:p w14:paraId="475D7955">
      <w:pPr>
        <w:pStyle w:val="223"/>
        <w:ind w:left="420" w:hanging="420" w:hangingChars="200"/>
        <w:rPr>
          <w:rFonts w:ascii="黑体" w:hAnsi="黑体" w:eastAsia="黑体"/>
        </w:rPr>
      </w:pPr>
      <w:r>
        <w:rPr>
          <w:rFonts w:ascii="黑体" w:hAnsi="黑体" w:eastAsia="黑体"/>
        </w:rPr>
        <w:br w:type="textWrapping"/>
      </w:r>
      <w:r>
        <w:rPr>
          <w:rFonts w:hint="eastAsia" w:ascii="黑体" w:hAnsi="黑体" w:eastAsia="黑体"/>
        </w:rPr>
        <w:t>行为风险度评估</w:t>
      </w:r>
      <w:r>
        <w:rPr>
          <w:rFonts w:hint="eastAsia" w:ascii="黑体" w:hAnsi="黑体" w:eastAsia="黑体"/>
          <w:lang w:val="en-US" w:eastAsia="zh-CN"/>
        </w:rPr>
        <w:t xml:space="preserve"> behavioral risk assessment</w:t>
      </w:r>
    </w:p>
    <w:p w14:paraId="1A395356">
      <w:pPr>
        <w:pStyle w:val="56"/>
        <w:ind w:firstLine="420"/>
      </w:pPr>
      <w:r>
        <w:rPr>
          <w:rFonts w:hint="eastAsia"/>
        </w:rPr>
        <w:t>指在发生性接触、公用针具吸毒等暴露时，出现任何有感染风险的体液（血液、精液、阴道分泌物、直肠分泌物）通过直肠、阴道、口腔等部位的粘膜、破损皮肤或静脉等方式进入体内的情况的风险评估。</w:t>
      </w:r>
    </w:p>
    <w:p w14:paraId="5698ED57">
      <w:pPr>
        <w:pStyle w:val="223"/>
        <w:ind w:left="420" w:hanging="420" w:hangingChars="200"/>
        <w:rPr>
          <w:rFonts w:ascii="黑体" w:hAnsi="黑体" w:eastAsia="黑体"/>
        </w:rPr>
      </w:pPr>
      <w:r>
        <w:rPr>
          <w:rFonts w:ascii="黑体" w:hAnsi="黑体" w:eastAsia="黑体"/>
        </w:rPr>
        <w:br w:type="textWrapping"/>
      </w:r>
      <w:r>
        <w:rPr>
          <w:rFonts w:hint="eastAsia" w:ascii="黑体" w:hAnsi="黑体" w:eastAsia="黑体"/>
        </w:rPr>
        <w:t>PEP适用性评估</w:t>
      </w:r>
      <w:r>
        <w:rPr>
          <w:rFonts w:hint="eastAsia" w:ascii="黑体" w:hAnsi="黑体" w:eastAsia="黑体"/>
          <w:lang w:val="en-US" w:eastAsia="zh-CN"/>
        </w:rPr>
        <w:t xml:space="preserve"> PEP eligibility assessment</w:t>
      </w:r>
    </w:p>
    <w:p w14:paraId="6FF557C0">
      <w:pPr>
        <w:pStyle w:val="56"/>
        <w:ind w:firstLine="420"/>
      </w:pPr>
      <w:r>
        <w:rPr>
          <w:rFonts w:hint="eastAsia"/>
        </w:rPr>
        <w:t>医生对求询者个案咨询、暴露时间、暴露风险评估以及实验室检测等综合评估分析结果，以确定求询者是否适合 PEP。</w:t>
      </w:r>
    </w:p>
    <w:p w14:paraId="01F463B4">
      <w:pPr>
        <w:pStyle w:val="104"/>
        <w:spacing w:before="312" w:after="312"/>
      </w:pPr>
      <w:r>
        <w:rPr>
          <w:rFonts w:hint="eastAsia"/>
        </w:rPr>
        <w:t>缩略语</w:t>
      </w:r>
    </w:p>
    <w:p w14:paraId="7117B78D">
      <w:pPr>
        <w:pStyle w:val="56"/>
        <w:ind w:firstLine="420"/>
      </w:pPr>
      <w:r>
        <w:rPr>
          <w:rFonts w:hint="eastAsia"/>
        </w:rPr>
        <w:t>下列缩略语适用于本文件。</w:t>
      </w:r>
    </w:p>
    <w:p w14:paraId="43A81E35">
      <w:pPr>
        <w:pStyle w:val="56"/>
        <w:ind w:firstLine="420"/>
      </w:pPr>
      <w:r>
        <w:rPr>
          <w:rFonts w:hint="eastAsia"/>
        </w:rPr>
        <w:t xml:space="preserve">3TC：拉米夫定（Lamivudine）  </w:t>
      </w:r>
    </w:p>
    <w:p w14:paraId="6D1DC5A0">
      <w:pPr>
        <w:pStyle w:val="56"/>
        <w:ind w:firstLine="420"/>
      </w:pPr>
      <w:r>
        <w:rPr>
          <w:rFonts w:hint="eastAsia"/>
        </w:rPr>
        <w:t xml:space="preserve">ABC：阿巴卡韦（Abacavir）  </w:t>
      </w:r>
    </w:p>
    <w:p w14:paraId="2445B68A">
      <w:pPr>
        <w:pStyle w:val="56"/>
        <w:ind w:firstLine="420"/>
      </w:pPr>
      <w:r>
        <w:rPr>
          <w:rFonts w:hint="eastAsia"/>
        </w:rPr>
        <w:t xml:space="preserve">DTG：多替拉韦钠（Dolutegravir） </w:t>
      </w:r>
    </w:p>
    <w:p w14:paraId="424AFAAE">
      <w:pPr>
        <w:pStyle w:val="56"/>
        <w:ind w:firstLine="420"/>
      </w:pPr>
      <w:r>
        <w:rPr>
          <w:rFonts w:hint="eastAsia"/>
        </w:rPr>
        <w:t xml:space="preserve">eCrCl：估计肌酐清除率（estimated creatinine clearance rate）  </w:t>
      </w:r>
    </w:p>
    <w:p w14:paraId="254CB94B">
      <w:pPr>
        <w:pStyle w:val="56"/>
        <w:ind w:firstLine="420"/>
      </w:pPr>
      <w:r>
        <w:rPr>
          <w:rFonts w:hint="eastAsia"/>
        </w:rPr>
        <w:t xml:space="preserve">FTC：恩曲他滨（Emtricitabine） </w:t>
      </w:r>
    </w:p>
    <w:p w14:paraId="6DB8F494">
      <w:pPr>
        <w:pStyle w:val="56"/>
        <w:ind w:firstLine="420"/>
      </w:pPr>
      <w:r>
        <w:rPr>
          <w:rFonts w:hint="eastAsia"/>
        </w:rPr>
        <w:t>RAL：拉替拉韦钾（Raltegravir）</w:t>
      </w:r>
    </w:p>
    <w:p w14:paraId="07B5FA9F">
      <w:pPr>
        <w:pStyle w:val="56"/>
        <w:ind w:firstLine="420"/>
      </w:pPr>
      <w:r>
        <w:rPr>
          <w:rFonts w:hint="eastAsia"/>
        </w:rPr>
        <w:t>NVP：奈韦拉平（nevirapine）</w:t>
      </w:r>
    </w:p>
    <w:p w14:paraId="69CCB116">
      <w:pPr>
        <w:pStyle w:val="56"/>
        <w:ind w:firstLine="420"/>
      </w:pPr>
      <w:r>
        <w:rPr>
          <w:rFonts w:hint="eastAsia"/>
        </w:rPr>
        <w:t>TAF：替诺福韦艾拉酚胺（Tenofovir Alafenamide）</w:t>
      </w:r>
    </w:p>
    <w:p w14:paraId="3A25E29E">
      <w:pPr>
        <w:pStyle w:val="56"/>
        <w:ind w:firstLine="420"/>
      </w:pPr>
      <w:r>
        <w:rPr>
          <w:rFonts w:hint="eastAsia"/>
        </w:rPr>
        <w:t>TDF：替诺福韦酯（Tenofovir Disoproxil Fumarate）</w:t>
      </w:r>
    </w:p>
    <w:p w14:paraId="073B4530">
      <w:pPr>
        <w:pStyle w:val="56"/>
        <w:ind w:firstLine="420"/>
      </w:pPr>
      <w:r>
        <w:rPr>
          <w:rFonts w:hint="eastAsia"/>
        </w:rPr>
        <w:t>HBV：乙型肝炎病毒（Hepatitis B Virus）</w:t>
      </w:r>
    </w:p>
    <w:p w14:paraId="663900A7">
      <w:pPr>
        <w:pStyle w:val="56"/>
        <w:ind w:firstLine="420"/>
      </w:pPr>
      <w:r>
        <w:rPr>
          <w:rFonts w:hint="eastAsia"/>
        </w:rPr>
        <w:t>HCV：内型肝炎病毒（Hepatitis C Virus）</w:t>
      </w:r>
    </w:p>
    <w:p w14:paraId="2BADD82A">
      <w:pPr>
        <w:pStyle w:val="56"/>
        <w:ind w:firstLine="420"/>
      </w:pPr>
      <w:r>
        <w:rPr>
          <w:rFonts w:hint="eastAsia"/>
        </w:rPr>
        <w:t>HIV：人类免疫缺陷病毒，即艾滋病病毒（Human Immunodeficiency Virus）</w:t>
      </w:r>
    </w:p>
    <w:p w14:paraId="36079021">
      <w:pPr>
        <w:pStyle w:val="56"/>
        <w:ind w:firstLine="420"/>
      </w:pPr>
      <w:r>
        <w:rPr>
          <w:rFonts w:hint="eastAsia"/>
        </w:rPr>
        <w:t>PEP：暴露后预防（Post-exposure Prophylaxis）</w:t>
      </w:r>
    </w:p>
    <w:p w14:paraId="32184A41">
      <w:pPr>
        <w:pStyle w:val="56"/>
        <w:ind w:firstLine="420"/>
      </w:pPr>
      <w:r>
        <w:rPr>
          <w:rFonts w:hint="eastAsia"/>
        </w:rPr>
        <w:t>PrEP：暴露前预防（Pre-exposure Prophylaxis）</w:t>
      </w:r>
    </w:p>
    <w:p w14:paraId="65F5C532">
      <w:pPr>
        <w:pStyle w:val="104"/>
        <w:spacing w:before="312" w:after="312"/>
      </w:pPr>
      <w:r>
        <w:rPr>
          <w:rFonts w:hint="eastAsia"/>
        </w:rPr>
        <w:t>基本原则</w:t>
      </w:r>
    </w:p>
    <w:p w14:paraId="127E2F6F">
      <w:pPr>
        <w:pStyle w:val="105"/>
        <w:spacing w:before="156" w:after="156"/>
      </w:pPr>
      <w:r>
        <w:rPr>
          <w:rFonts w:hint="eastAsia"/>
        </w:rPr>
        <w:t>适用人群</w:t>
      </w:r>
    </w:p>
    <w:p w14:paraId="53E08197">
      <w:pPr>
        <w:pStyle w:val="56"/>
        <w:ind w:firstLine="420"/>
      </w:pPr>
      <w:r>
        <w:rPr>
          <w:rFonts w:hint="eastAsia"/>
        </w:rPr>
        <w:t>所有与暴露源发生了可能导致 HIV 感染行为的人，均推荐尽早使用 PEP。适用人群包括男男性行为者及跨性别女性、HIV感染者的阴性性伴、静脉注射吸毒者、性侵受害者及其他有高风险的异性性行为者，以及其他暴露于高危风险因素的人群等。</w:t>
      </w:r>
    </w:p>
    <w:p w14:paraId="32AD4C43">
      <w:pPr>
        <w:pStyle w:val="105"/>
        <w:spacing w:before="156" w:after="156"/>
      </w:pPr>
      <w:r>
        <w:rPr>
          <w:rFonts w:hint="eastAsia"/>
        </w:rPr>
        <w:t>处理原则</w:t>
      </w:r>
    </w:p>
    <w:p w14:paraId="2D2E41BC">
      <w:pPr>
        <w:pStyle w:val="65"/>
        <w:spacing w:before="156" w:after="156"/>
      </w:pPr>
      <w:r>
        <w:rPr>
          <w:rFonts w:hint="eastAsia"/>
        </w:rPr>
        <w:t xml:space="preserve">PEP处理原则 </w:t>
      </w:r>
    </w:p>
    <w:p w14:paraId="0E9701E0">
      <w:pPr>
        <w:pStyle w:val="56"/>
        <w:ind w:firstLine="420"/>
      </w:pPr>
      <w:r>
        <w:rPr>
          <w:rFonts w:hint="eastAsia"/>
        </w:rPr>
        <w:t>暴露评估及预防用药与职业暴露相同。处理时间均需遵循"及时性"的核心原则，暴露后2小时内启动评估、最迟不超过72小时启动预防用药的时间窗口要求。暴露评估需系统分析暴露源、暴露方式、暴露部位污染程度等三级评估要素。预防用药为28天抗病毒方案，并根据暴露源耐药性评估进行方案调整。</w:t>
      </w:r>
    </w:p>
    <w:p w14:paraId="2DF03753">
      <w:pPr>
        <w:pStyle w:val="65"/>
        <w:spacing w:before="156" w:after="156"/>
      </w:pPr>
      <w:r>
        <w:rPr>
          <w:rFonts w:hint="eastAsia"/>
        </w:rPr>
        <w:t xml:space="preserve">保密原则 </w:t>
      </w:r>
    </w:p>
    <w:p w14:paraId="438CE277">
      <w:pPr>
        <w:pStyle w:val="56"/>
        <w:ind w:firstLine="420"/>
      </w:pPr>
      <w:r>
        <w:rPr>
          <w:rFonts w:hint="eastAsia"/>
        </w:rPr>
        <w:t>医务人员对艾滋病暴露后预防用药个人信息要严格保密，尊重个人隐私，不得泄露求询者个人姓名、联系方式、工作及寻求服务等相关事件。</w:t>
      </w:r>
    </w:p>
    <w:p w14:paraId="5264541A">
      <w:pPr>
        <w:pStyle w:val="65"/>
        <w:spacing w:before="156" w:after="156"/>
      </w:pPr>
      <w:r>
        <w:rPr>
          <w:rFonts w:hint="eastAsia"/>
        </w:rPr>
        <w:t xml:space="preserve">尊重原则 </w:t>
      </w:r>
    </w:p>
    <w:p w14:paraId="5F77C5D4">
      <w:pPr>
        <w:pStyle w:val="56"/>
        <w:ind w:firstLine="420"/>
      </w:pPr>
      <w:r>
        <w:rPr>
          <w:rFonts w:hint="eastAsia"/>
        </w:rPr>
        <w:t>在PEP服务中，医务人员对求询者严格遵守非评判性原则和中立性原则，对暴露原因不进行道德评价，不得使用带有歧视性的语言；对于不同种族、民族、性别、性取向、受教育水平、经济状况等无差别性对待，保障弱势人群的平等就医权；尊重求询者的观念与选择，保持中立原则，不得用个人或社会的道德标准干预求询者。</w:t>
      </w:r>
    </w:p>
    <w:p w14:paraId="1C9A4537">
      <w:pPr>
        <w:pStyle w:val="65"/>
        <w:spacing w:before="156" w:after="156"/>
      </w:pPr>
      <w:r>
        <w:rPr>
          <w:rFonts w:hint="eastAsia"/>
        </w:rPr>
        <w:t>自愿原则</w:t>
      </w:r>
    </w:p>
    <w:p w14:paraId="44AEF354">
      <w:pPr>
        <w:pStyle w:val="56"/>
        <w:ind w:firstLine="420"/>
      </w:pPr>
      <w:r>
        <w:rPr>
          <w:rFonts w:hint="eastAsia"/>
        </w:rPr>
        <w:t>经适用性评估符合PEP的求询者，需签署知情同意书（见附件2），当事人有权根据个人意愿选择接受或拒绝PEP干预，当事人要在自愿的前提下接受PEP，并进行规范随访。</w:t>
      </w:r>
    </w:p>
    <w:p w14:paraId="60E28973">
      <w:pPr>
        <w:pStyle w:val="65"/>
        <w:spacing w:before="156" w:after="156"/>
      </w:pPr>
      <w:r>
        <w:rPr>
          <w:rFonts w:hint="eastAsia"/>
        </w:rPr>
        <w:t xml:space="preserve">随访原则 </w:t>
      </w:r>
    </w:p>
    <w:p w14:paraId="64ADA8DF">
      <w:pPr>
        <w:pStyle w:val="56"/>
        <w:ind w:firstLine="420"/>
      </w:pPr>
      <w:r>
        <w:rPr>
          <w:rFonts w:hint="eastAsia"/>
        </w:rPr>
        <w:t>对于接受PEP干预的求询者，需建立个人管理档案，实施规范化随访，对用药依从性及用药不良反应进行评估，并于规定的时间节点进行相应的实验室检测（HIV抗原/抗体、乙肝血清学、丙肝抗体等），通过系统随访实现对预防效果的动态评估，以尽早发现感染者。</w:t>
      </w:r>
    </w:p>
    <w:p w14:paraId="1B0FC83C">
      <w:pPr>
        <w:pStyle w:val="104"/>
        <w:spacing w:before="312" w:after="312"/>
      </w:pPr>
      <w:r>
        <w:rPr>
          <w:rFonts w:hint="eastAsia"/>
        </w:rPr>
        <w:t>基本要求</w:t>
      </w:r>
    </w:p>
    <w:p w14:paraId="6E9BFC33">
      <w:pPr>
        <w:pStyle w:val="105"/>
        <w:spacing w:before="156" w:after="156"/>
      </w:pPr>
      <w:r>
        <w:rPr>
          <w:rFonts w:hint="eastAsia"/>
        </w:rPr>
        <w:t>求询者转介</w:t>
      </w:r>
    </w:p>
    <w:p w14:paraId="3248951B">
      <w:pPr>
        <w:pStyle w:val="56"/>
        <w:ind w:firstLine="420"/>
      </w:pPr>
      <w:r>
        <w:rPr>
          <w:rFonts w:hint="eastAsia"/>
        </w:rPr>
        <w:t>求询者可以由各级疾病预防控制中心、医疗机构、自愿咨询检测（VCT）门诊，及社会组织转介至PEP门诊。</w:t>
      </w:r>
    </w:p>
    <w:p w14:paraId="7F738BB6">
      <w:pPr>
        <w:pStyle w:val="105"/>
        <w:spacing w:before="156" w:after="156"/>
      </w:pPr>
      <w:r>
        <w:rPr>
          <w:rFonts w:hint="eastAsia"/>
        </w:rPr>
        <w:t>PEP服务门诊设置</w:t>
      </w:r>
    </w:p>
    <w:p w14:paraId="48ABFA1F">
      <w:pPr>
        <w:pStyle w:val="165"/>
      </w:pPr>
      <w:r>
        <w:rPr>
          <w:rFonts w:hint="eastAsia"/>
          <w:highlight w:val="none"/>
        </w:rPr>
        <w:t>医疗机构设立PEP门诊，应在疾控部门的指导下。现存活</w:t>
      </w:r>
      <w:r>
        <w:rPr>
          <w:rFonts w:hint="eastAsia"/>
        </w:rPr>
        <w:t>HIV感染者病例达到1000例以上的县（区），可增设PEP门诊。</w:t>
      </w:r>
    </w:p>
    <w:p w14:paraId="3FB84B6B">
      <w:pPr>
        <w:pStyle w:val="165"/>
      </w:pPr>
      <w:r>
        <w:rPr>
          <w:rFonts w:hint="eastAsia"/>
        </w:rPr>
        <w:t>PEP门诊宜依托于艾滋病定点治疗医院或综合医院相关科室。</w:t>
      </w:r>
    </w:p>
    <w:p w14:paraId="4D898001">
      <w:pPr>
        <w:pStyle w:val="165"/>
      </w:pPr>
      <w:r>
        <w:rPr>
          <w:rFonts w:hint="eastAsia"/>
        </w:rPr>
        <w:t>PEP门诊能提供24小时全天候服务机制，尤其在夜间性暴露事件高发时段，保证夜诊服务时效性。</w:t>
      </w:r>
    </w:p>
    <w:p w14:paraId="5BD5B27D">
      <w:pPr>
        <w:pStyle w:val="165"/>
      </w:pPr>
      <w:r>
        <w:rPr>
          <w:rFonts w:hint="eastAsia"/>
        </w:rPr>
        <w:t>PEP门诊所依托的医疗机构应具备PEP相关实验室检测能力，并满足相关检测技术标准与质量体系要求。</w:t>
      </w:r>
    </w:p>
    <w:p w14:paraId="5D40B83A">
      <w:pPr>
        <w:pStyle w:val="165"/>
      </w:pPr>
      <w:r>
        <w:rPr>
          <w:rFonts w:hint="eastAsia"/>
        </w:rPr>
        <w:t>PEP门诊所依托的医疗机构可以提供或者协调（指定药店）PEP药品使用，保障24h内药品供应。</w:t>
      </w:r>
    </w:p>
    <w:p w14:paraId="737E367B">
      <w:pPr>
        <w:pStyle w:val="165"/>
      </w:pPr>
      <w:r>
        <w:rPr>
          <w:rFonts w:hint="eastAsia"/>
        </w:rPr>
        <w:t>通过 PEP门诊、实验室检测、药物储备及24h服务等多方联动，确保PEP服务的连续性和时效性。</w:t>
      </w:r>
    </w:p>
    <w:p w14:paraId="30E8F78D">
      <w:pPr>
        <w:pStyle w:val="105"/>
        <w:spacing w:before="156" w:after="156"/>
      </w:pPr>
      <w:r>
        <w:rPr>
          <w:rFonts w:hint="eastAsia"/>
        </w:rPr>
        <w:t>诊室设置要求</w:t>
      </w:r>
    </w:p>
    <w:p w14:paraId="23957D95">
      <w:pPr>
        <w:pStyle w:val="165"/>
      </w:pPr>
      <w:r>
        <w:rPr>
          <w:rFonts w:hint="eastAsia"/>
        </w:rPr>
        <w:t>PEP诊室应设置在医疗机构的独立办公区域（建议毗邻感染科或急诊科），配备物理隔音设施及独立出入口，保护求询者隐私。</w:t>
      </w:r>
    </w:p>
    <w:p w14:paraId="6B799974">
      <w:pPr>
        <w:pStyle w:val="165"/>
      </w:pPr>
      <w:r>
        <w:rPr>
          <w:rFonts w:hint="eastAsia"/>
        </w:rPr>
        <w:t>接诊区域显著位置张贴PEP处置流程图（内容涵盖暴露后0/2/24/48/72小时标准化处置节点）。</w:t>
      </w:r>
    </w:p>
    <w:p w14:paraId="7F1096E5">
      <w:pPr>
        <w:pStyle w:val="165"/>
      </w:pPr>
      <w:r>
        <w:rPr>
          <w:rFonts w:hint="eastAsia"/>
        </w:rPr>
        <w:t>设立咨询电话，资料宣传架需常备PEP宣传册（涵盖PEP原理与用药注意事项等），实时核查宣传册更新度，提高诊室信息化建设。</w:t>
      </w:r>
    </w:p>
    <w:p w14:paraId="74AE3335">
      <w:pPr>
        <w:pStyle w:val="165"/>
      </w:pPr>
      <w:r>
        <w:rPr>
          <w:rFonts w:hint="eastAsia"/>
        </w:rPr>
        <w:t>诊室内至少配备一台电脑，电脑设置密码，确保个案信息能及时上传至中国疾控预防控制信息系统。</w:t>
      </w:r>
    </w:p>
    <w:p w14:paraId="3E1D26F7">
      <w:pPr>
        <w:pStyle w:val="105"/>
        <w:spacing w:before="156" w:after="156"/>
      </w:pPr>
      <w:r>
        <w:rPr>
          <w:rFonts w:hint="eastAsia"/>
        </w:rPr>
        <w:t>人员要求</w:t>
      </w:r>
    </w:p>
    <w:p w14:paraId="4860C554">
      <w:pPr>
        <w:pStyle w:val="165"/>
      </w:pPr>
      <w:r>
        <w:rPr>
          <w:rFonts w:hint="eastAsia"/>
        </w:rPr>
        <w:t>PEP门诊应配备专兼职医护人员2-3人，均定期参加市级及以上的相关领域业务培训，取得岗位培训合格证书。其中至少1名医生从事艾滋病防控工作3年及以上，具备副主任医师及以上资格。</w:t>
      </w:r>
    </w:p>
    <w:p w14:paraId="2D15F8E3">
      <w:pPr>
        <w:pStyle w:val="165"/>
      </w:pPr>
      <w:r>
        <w:rPr>
          <w:rFonts w:hint="eastAsia"/>
        </w:rPr>
        <w:t>PEP门诊医务人员需具备独立处置能力（完成暴露源评估、用药方案制定及特殊患者用药相互作用等），应急决策能力，短时间内完成资源调配。</w:t>
      </w:r>
    </w:p>
    <w:p w14:paraId="239B103B">
      <w:pPr>
        <w:pStyle w:val="165"/>
      </w:pPr>
      <w:r>
        <w:rPr>
          <w:rFonts w:hint="eastAsia"/>
        </w:rPr>
        <w:t>社会组织工作人员或志愿者可以为求询者提供PEP服务机构信息，或陪同求询者到PEP服务机构，帮助求询者了解PEP及用药注意事项。</w:t>
      </w:r>
    </w:p>
    <w:p w14:paraId="0F344FE5">
      <w:pPr>
        <w:pStyle w:val="165"/>
      </w:pPr>
      <w:r>
        <w:rPr>
          <w:rFonts w:hint="eastAsia"/>
        </w:rPr>
        <w:t>社会组织工作人员可以提供服药后随访的后续服务，在必要时间节点协助服药者确定服药时间、定期复查检测时间提醒，服药不良反应的建议等，帮助提高服药依从性。</w:t>
      </w:r>
    </w:p>
    <w:p w14:paraId="67C7E640">
      <w:pPr>
        <w:pStyle w:val="165"/>
      </w:pPr>
      <w:r>
        <w:rPr>
          <w:rFonts w:hint="eastAsia"/>
        </w:rPr>
        <w:t>医务人员或者社会组织工作人员对求询者要注意沟通方式，提供安全、互助、平等、互信的氛围，通过PEP标准化服务，减少高危人群的暴露感染风险。</w:t>
      </w:r>
    </w:p>
    <w:p w14:paraId="5AB5AEB6">
      <w:pPr>
        <w:pStyle w:val="104"/>
        <w:spacing w:before="312" w:after="312"/>
      </w:pPr>
      <w:r>
        <w:rPr>
          <w:rFonts w:hint="eastAsia"/>
        </w:rPr>
        <w:t>处置流程</w:t>
      </w:r>
    </w:p>
    <w:p w14:paraId="10D16196">
      <w:pPr>
        <w:pStyle w:val="105"/>
        <w:spacing w:before="156" w:after="156"/>
      </w:pPr>
      <w:r>
        <w:rPr>
          <w:rFonts w:hint="eastAsia"/>
        </w:rPr>
        <w:t xml:space="preserve">注意事项 </w:t>
      </w:r>
    </w:p>
    <w:p w14:paraId="1D35A059">
      <w:pPr>
        <w:pStyle w:val="56"/>
        <w:ind w:firstLine="420"/>
      </w:pPr>
      <w:r>
        <w:rPr>
          <w:rFonts w:hint="eastAsia"/>
        </w:rPr>
        <w:t>对于 HBsAg和抗 HCV 阳性者，同时要转介至肝病专科门诊就医。HBV 感染并非 PEP 的禁忌症，但在其停止使用 PEP 药物时，须在肝病专科门诊指导下进行有计划停药，以免导致HBV感染恶化。</w:t>
      </w:r>
    </w:p>
    <w:p w14:paraId="0FF645C7">
      <w:pPr>
        <w:pStyle w:val="105"/>
        <w:spacing w:before="156" w:after="156"/>
      </w:pPr>
      <w:r>
        <w:rPr>
          <w:rFonts w:hint="eastAsia"/>
        </w:rPr>
        <w:t>PEP适用性评估</w:t>
      </w:r>
    </w:p>
    <w:p w14:paraId="31E6CD09">
      <w:pPr>
        <w:pStyle w:val="56"/>
        <w:ind w:firstLine="420"/>
      </w:pPr>
      <w:r>
        <w:rPr>
          <w:rFonts w:hint="eastAsia"/>
        </w:rPr>
        <w:t>医务人员对求询者个案咨询（求询者小于18周岁需监护人同意）、暴露时间（暴露时间上不超过72小时）、暴露风险评估（暴露源及行为风险），以及实验室检测等综合评估分析结果，以确定求询者是否适合 PEP，以及求询者是否愿意接受PEP干预。具体参照附录A《HIV暴露后预防（PEP）适用性评估个案信息表》，暴露风险综合评估见图1。</w:t>
      </w:r>
    </w:p>
    <w:p w14:paraId="74EC0005">
      <w:pPr>
        <w:pStyle w:val="56"/>
        <w:ind w:firstLine="420"/>
      </w:pPr>
    </w:p>
    <w:p w14:paraId="06E3F91E">
      <w:pPr>
        <w:pStyle w:val="56"/>
        <w:ind w:firstLine="420"/>
        <w:jc w:val="center"/>
      </w:pPr>
      <w:r>
        <w:drawing>
          <wp:inline distT="0" distB="0" distL="0" distR="0">
            <wp:extent cx="4023360" cy="2456815"/>
            <wp:effectExtent l="0" t="0" r="15240" b="635"/>
            <wp:docPr id="18369710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71056"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023360" cy="2456815"/>
                    </a:xfrm>
                    <a:prstGeom prst="rect">
                      <a:avLst/>
                    </a:prstGeom>
                    <a:noFill/>
                  </pic:spPr>
                </pic:pic>
              </a:graphicData>
            </a:graphic>
          </wp:inline>
        </w:drawing>
      </w:r>
    </w:p>
    <w:p w14:paraId="20538786">
      <w:pPr>
        <w:pStyle w:val="114"/>
        <w:spacing w:before="156" w:after="156"/>
      </w:pPr>
      <w:r>
        <w:rPr>
          <w:rFonts w:hint="eastAsia"/>
        </w:rPr>
        <w:t>暴露风险综合评估流程图</w:t>
      </w:r>
    </w:p>
    <w:p w14:paraId="01D55B20">
      <w:pPr>
        <w:pStyle w:val="105"/>
        <w:spacing w:before="156" w:after="156"/>
      </w:pPr>
      <w:r>
        <w:rPr>
          <w:rFonts w:hint="eastAsia"/>
        </w:rPr>
        <w:t>用药前实验室检测和处理</w:t>
      </w:r>
    </w:p>
    <w:p w14:paraId="51250336">
      <w:pPr>
        <w:pStyle w:val="65"/>
        <w:spacing w:before="156" w:after="156"/>
      </w:pPr>
      <w:r>
        <w:rPr>
          <w:rFonts w:hint="eastAsia"/>
        </w:rPr>
        <w:t>用药前实验室检测</w:t>
      </w:r>
    </w:p>
    <w:p w14:paraId="1E6DF240">
      <w:pPr>
        <w:pStyle w:val="56"/>
        <w:ind w:firstLine="420"/>
      </w:pPr>
      <w:r>
        <w:rPr>
          <w:rFonts w:hint="eastAsia"/>
        </w:rPr>
        <w:t>对明确有HIV暴露风险的求询者，进行相应的实验室检测，包括HIV 抗体检测、乙肝（HBV） 血清学检测、丙肝（HCV）抗体检测、尿常规、肝肾功能以及医生认为有必要进行的其他检查，以确认是否适用PEP。如经性途径暴露，应进行梅毒血清学、淋病、衣原体等实验室检测。</w:t>
      </w:r>
    </w:p>
    <w:p w14:paraId="5656D260">
      <w:pPr>
        <w:pStyle w:val="65"/>
        <w:spacing w:before="156" w:after="156"/>
      </w:pPr>
      <w:r>
        <w:rPr>
          <w:rFonts w:hint="eastAsia"/>
        </w:rPr>
        <w:t>检测结果的判断和处理</w:t>
      </w:r>
    </w:p>
    <w:p w14:paraId="0D22A45D">
      <w:pPr>
        <w:pStyle w:val="56"/>
        <w:ind w:firstLine="420"/>
      </w:pPr>
      <w:r>
        <w:rPr>
          <w:rFonts w:hint="eastAsia"/>
        </w:rPr>
        <w:t>医生根据检验结果及性伴 HIV 抗体检测情况，为求询者提供相应建议，评估求询者是否适合PEP，（参见表1）。注意排除HIV急性期感染。</w:t>
      </w:r>
    </w:p>
    <w:p w14:paraId="34274157">
      <w:pPr>
        <w:pStyle w:val="112"/>
        <w:spacing w:before="156" w:after="156"/>
      </w:pPr>
      <w:r>
        <w:rPr>
          <w:rFonts w:hint="eastAsia"/>
        </w:rPr>
        <w:t>检测结果判定表</w:t>
      </w:r>
    </w:p>
    <w:tbl>
      <w:tblPr>
        <w:tblStyle w:val="230"/>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4531"/>
        <w:gridCol w:w="3765"/>
      </w:tblGrid>
      <w:tr w14:paraId="332CF9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4531" w:type="dxa"/>
            <w:tcBorders>
              <w:top w:val="single" w:color="auto" w:sz="8" w:space="0"/>
              <w:bottom w:val="single" w:color="auto" w:sz="8" w:space="0"/>
            </w:tcBorders>
            <w:shd w:val="clear" w:color="auto" w:fill="auto"/>
            <w:vAlign w:val="center"/>
          </w:tcPr>
          <w:p w14:paraId="0490309C">
            <w:pPr>
              <w:adjustRightInd/>
              <w:spacing w:line="240" w:lineRule="auto"/>
              <w:jc w:val="center"/>
              <w:rPr>
                <w:rFonts w:ascii="Times New Roman" w:hAnsi="Times New Roman" w:eastAsia="Times New Roman"/>
                <w:sz w:val="18"/>
              </w:rPr>
            </w:pPr>
            <w:r>
              <w:rPr>
                <w:rFonts w:hint="eastAsia" w:ascii="宋体" w:hAnsi="宋体" w:eastAsia="Times New Roman"/>
                <w:sz w:val="18"/>
              </w:rPr>
              <w:t>检测结果</w:t>
            </w:r>
          </w:p>
        </w:tc>
        <w:tc>
          <w:tcPr>
            <w:tcW w:w="3765" w:type="dxa"/>
            <w:tcBorders>
              <w:top w:val="single" w:color="auto" w:sz="8" w:space="0"/>
              <w:bottom w:val="single" w:color="auto" w:sz="8" w:space="0"/>
            </w:tcBorders>
            <w:shd w:val="clear" w:color="auto" w:fill="auto"/>
            <w:vAlign w:val="center"/>
          </w:tcPr>
          <w:p w14:paraId="5AA62D2F">
            <w:pPr>
              <w:adjustRightInd/>
              <w:spacing w:line="240" w:lineRule="auto"/>
              <w:jc w:val="center"/>
              <w:rPr>
                <w:rFonts w:ascii="Times New Roman" w:hAnsi="Times New Roman" w:eastAsia="Times New Roman"/>
                <w:sz w:val="18"/>
              </w:rPr>
            </w:pPr>
            <w:r>
              <w:rPr>
                <w:rFonts w:hint="eastAsia" w:ascii="宋体" w:hAnsi="宋体" w:eastAsia="Times New Roman"/>
                <w:sz w:val="18"/>
              </w:rPr>
              <w:t>是否适用</w:t>
            </w:r>
            <w:r>
              <w:rPr>
                <w:rFonts w:hint="eastAsia" w:ascii="Times New Roman" w:hAnsi="Times New Roman" w:eastAsia="Times New Roman"/>
                <w:sz w:val="18"/>
              </w:rPr>
              <w:t>PEP</w:t>
            </w:r>
          </w:p>
        </w:tc>
      </w:tr>
      <w:tr w14:paraId="1B1C0C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4531" w:type="dxa"/>
            <w:tcBorders>
              <w:top w:val="single" w:color="auto" w:sz="8" w:space="0"/>
            </w:tcBorders>
            <w:shd w:val="clear" w:color="auto" w:fill="auto"/>
            <w:vAlign w:val="center"/>
          </w:tcPr>
          <w:p w14:paraId="35DE3B70">
            <w:pPr>
              <w:adjustRightInd/>
              <w:spacing w:line="240" w:lineRule="auto"/>
              <w:rPr>
                <w:rFonts w:ascii="Times New Roman" w:hAnsi="Times New Roman" w:eastAsia="Times New Roman"/>
                <w:sz w:val="18"/>
              </w:rPr>
            </w:pPr>
            <w:r>
              <w:rPr>
                <w:rFonts w:hint="eastAsia" w:ascii="Times New Roman" w:hAnsi="Times New Roman" w:eastAsia="Times New Roman"/>
                <w:sz w:val="18"/>
              </w:rPr>
              <w:t>HIV</w:t>
            </w:r>
            <w:r>
              <w:rPr>
                <w:rFonts w:hint="eastAsia" w:ascii="宋体" w:hAnsi="宋体" w:eastAsia="Times New Roman"/>
                <w:sz w:val="18"/>
              </w:rPr>
              <w:t>抗体阴性，临床检验结果合格，且排除</w:t>
            </w:r>
            <w:r>
              <w:rPr>
                <w:rFonts w:hint="eastAsia" w:ascii="Times New Roman" w:hAnsi="Times New Roman" w:eastAsia="Times New Roman"/>
                <w:sz w:val="18"/>
              </w:rPr>
              <w:t>HIV</w:t>
            </w:r>
            <w:r>
              <w:rPr>
                <w:rFonts w:hint="eastAsia" w:ascii="宋体" w:hAnsi="宋体" w:eastAsia="Times New Roman"/>
                <w:sz w:val="18"/>
              </w:rPr>
              <w:t>急性感染</w:t>
            </w:r>
          </w:p>
        </w:tc>
        <w:tc>
          <w:tcPr>
            <w:tcW w:w="3765" w:type="dxa"/>
            <w:tcBorders>
              <w:top w:val="single" w:color="auto" w:sz="8" w:space="0"/>
            </w:tcBorders>
            <w:shd w:val="clear" w:color="auto" w:fill="auto"/>
            <w:vAlign w:val="center"/>
          </w:tcPr>
          <w:p w14:paraId="2C416D63">
            <w:pPr>
              <w:adjustRightInd/>
              <w:spacing w:line="240" w:lineRule="auto"/>
              <w:rPr>
                <w:rFonts w:ascii="Times New Roman" w:hAnsi="Times New Roman" w:eastAsia="Times New Roman"/>
                <w:sz w:val="18"/>
              </w:rPr>
            </w:pPr>
            <w:r>
              <w:rPr>
                <w:rFonts w:hint="eastAsia" w:ascii="宋体" w:hAnsi="宋体" w:eastAsia="Times New Roman"/>
                <w:sz w:val="18"/>
              </w:rPr>
              <w:t>建议使用</w:t>
            </w:r>
            <w:r>
              <w:rPr>
                <w:rFonts w:hint="eastAsia" w:ascii="Times New Roman" w:hAnsi="Times New Roman" w:eastAsia="Times New Roman"/>
                <w:sz w:val="18"/>
              </w:rPr>
              <w:t>PEP</w:t>
            </w:r>
          </w:p>
        </w:tc>
      </w:tr>
      <w:tr w14:paraId="586AD2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4531" w:type="dxa"/>
            <w:shd w:val="clear" w:color="auto" w:fill="auto"/>
            <w:vAlign w:val="center"/>
          </w:tcPr>
          <w:p w14:paraId="3A22D6F8">
            <w:pPr>
              <w:adjustRightInd/>
              <w:spacing w:line="240" w:lineRule="auto"/>
              <w:rPr>
                <w:rFonts w:ascii="Times New Roman" w:hAnsi="Times New Roman" w:eastAsia="Times New Roman"/>
                <w:sz w:val="18"/>
              </w:rPr>
            </w:pPr>
            <w:r>
              <w:rPr>
                <w:rFonts w:hint="eastAsia" w:ascii="Times New Roman" w:hAnsi="Times New Roman" w:eastAsia="Times New Roman"/>
                <w:sz w:val="18"/>
              </w:rPr>
              <w:t>HIV</w:t>
            </w:r>
            <w:r>
              <w:rPr>
                <w:rFonts w:hint="eastAsia" w:ascii="宋体" w:hAnsi="宋体" w:eastAsia="Times New Roman"/>
                <w:sz w:val="18"/>
              </w:rPr>
              <w:t>抗体阴性，临床检验结果不合格</w:t>
            </w:r>
          </w:p>
        </w:tc>
        <w:tc>
          <w:tcPr>
            <w:tcW w:w="3765" w:type="dxa"/>
            <w:shd w:val="clear" w:color="auto" w:fill="auto"/>
            <w:vAlign w:val="center"/>
          </w:tcPr>
          <w:p w14:paraId="60A37B43">
            <w:pPr>
              <w:adjustRightInd/>
              <w:spacing w:line="240" w:lineRule="auto"/>
              <w:rPr>
                <w:rFonts w:ascii="Times New Roman" w:hAnsi="Times New Roman" w:eastAsia="Times New Roman"/>
                <w:sz w:val="18"/>
              </w:rPr>
            </w:pPr>
            <w:r>
              <w:rPr>
                <w:rFonts w:hint="eastAsia" w:ascii="宋体" w:hAnsi="宋体" w:eastAsia="Times New Roman"/>
                <w:sz w:val="18"/>
              </w:rPr>
              <w:t>调整</w:t>
            </w:r>
            <w:r>
              <w:rPr>
                <w:rFonts w:hint="eastAsia" w:ascii="Times New Roman" w:hAnsi="Times New Roman" w:eastAsia="Times New Roman"/>
                <w:sz w:val="18"/>
              </w:rPr>
              <w:t>PEP</w:t>
            </w:r>
            <w:r>
              <w:rPr>
                <w:rFonts w:hint="eastAsia" w:ascii="宋体" w:hAnsi="宋体" w:eastAsia="Times New Roman"/>
                <w:sz w:val="18"/>
              </w:rPr>
              <w:t>方案</w:t>
            </w:r>
          </w:p>
        </w:tc>
      </w:tr>
      <w:tr w14:paraId="468786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4531" w:type="dxa"/>
            <w:shd w:val="clear" w:color="auto" w:fill="auto"/>
            <w:vAlign w:val="center"/>
          </w:tcPr>
          <w:p w14:paraId="76EB6690">
            <w:pPr>
              <w:adjustRightInd/>
              <w:spacing w:line="240" w:lineRule="auto"/>
              <w:rPr>
                <w:rFonts w:ascii="Times New Roman" w:hAnsi="Times New Roman" w:eastAsia="Times New Roman"/>
                <w:sz w:val="18"/>
              </w:rPr>
            </w:pPr>
            <w:r>
              <w:rPr>
                <w:rFonts w:hint="eastAsia" w:ascii="Times New Roman" w:hAnsi="Times New Roman" w:eastAsia="Times New Roman"/>
                <w:sz w:val="18"/>
              </w:rPr>
              <w:t>HIV</w:t>
            </w:r>
            <w:r>
              <w:rPr>
                <w:rFonts w:hint="eastAsia" w:ascii="宋体" w:hAnsi="宋体" w:eastAsia="Times New Roman"/>
                <w:sz w:val="18"/>
              </w:rPr>
              <w:t xml:space="preserve">抗体阳性 </w:t>
            </w:r>
          </w:p>
        </w:tc>
        <w:tc>
          <w:tcPr>
            <w:tcW w:w="3765" w:type="dxa"/>
            <w:shd w:val="clear" w:color="auto" w:fill="auto"/>
            <w:vAlign w:val="center"/>
          </w:tcPr>
          <w:p w14:paraId="686B0486">
            <w:pPr>
              <w:adjustRightInd/>
              <w:spacing w:line="240" w:lineRule="auto"/>
              <w:rPr>
                <w:rFonts w:ascii="Times New Roman" w:hAnsi="Times New Roman" w:eastAsia="Times New Roman"/>
                <w:sz w:val="18"/>
              </w:rPr>
            </w:pPr>
            <w:r>
              <w:rPr>
                <w:rFonts w:hint="eastAsia" w:ascii="宋体" w:hAnsi="宋体" w:eastAsia="Times New Roman"/>
                <w:sz w:val="18"/>
              </w:rPr>
              <w:t>不建议使用</w:t>
            </w:r>
            <w:r>
              <w:rPr>
                <w:rFonts w:hint="eastAsia" w:ascii="Times New Roman" w:hAnsi="Times New Roman" w:eastAsia="Times New Roman"/>
                <w:sz w:val="18"/>
              </w:rPr>
              <w:t xml:space="preserve"> PEP</w:t>
            </w:r>
            <w:r>
              <w:rPr>
                <w:rFonts w:hint="eastAsia" w:ascii="宋体" w:hAnsi="宋体" w:eastAsia="Times New Roman"/>
                <w:sz w:val="18"/>
              </w:rPr>
              <w:t>，转介启动抗病毒治疗</w:t>
            </w:r>
          </w:p>
        </w:tc>
      </w:tr>
    </w:tbl>
    <w:p w14:paraId="697CDAB8">
      <w:pPr>
        <w:pStyle w:val="105"/>
        <w:spacing w:before="156" w:after="156"/>
      </w:pPr>
      <w:r>
        <w:rPr>
          <w:rFonts w:hint="eastAsia"/>
        </w:rPr>
        <w:t>PEP启动及预防用药</w:t>
      </w:r>
    </w:p>
    <w:p w14:paraId="10F85FED">
      <w:pPr>
        <w:pStyle w:val="65"/>
        <w:spacing w:before="156" w:after="156"/>
      </w:pPr>
      <w:r>
        <w:rPr>
          <w:rFonts w:hint="eastAsia"/>
        </w:rPr>
        <w:t>PEP用药原则</w:t>
      </w:r>
    </w:p>
    <w:p w14:paraId="169A1772">
      <w:pPr>
        <w:pStyle w:val="56"/>
        <w:ind w:firstLine="420"/>
      </w:pPr>
      <w:r>
        <w:rPr>
          <w:rFonts w:hint="eastAsia"/>
        </w:rPr>
        <w:t>经适用性评估符合PEP的求询者，需签署知情同意书（见附录B），自愿的接受PEP服药和规范随访。医务人员应为求询者选择副作用较小、适宜的用药方案。暴露后2小时内服用效果最佳，原则上不超过 72 小时，需连续服用 28 天。PEP用药方案可参考艾滋病病毒暴露后预防技术指南或中国艾滋病诊疗指南推荐的药物。</w:t>
      </w:r>
    </w:p>
    <w:p w14:paraId="30DDF05C">
      <w:pPr>
        <w:pStyle w:val="105"/>
        <w:spacing w:before="156" w:after="156"/>
      </w:pPr>
      <w:r>
        <w:rPr>
          <w:rFonts w:hint="eastAsia"/>
        </w:rPr>
        <w:t>PEP用药后随访</w:t>
      </w:r>
    </w:p>
    <w:p w14:paraId="6D9BEF27">
      <w:pPr>
        <w:pStyle w:val="165"/>
      </w:pPr>
      <w:r>
        <w:rPr>
          <w:rFonts w:hint="eastAsia"/>
        </w:rPr>
        <w:t>在PEP服药的第2周，对服药者进行药物副作用随访，在暴露后4周进行HIV、HCV、梅毒和肝肾功能检测，暴露后3个月进行HIV 抗体检测随访（见表2），并填写HIV暴露后预防（PEP）适用性评估个案信息表（见附录A）。若HIV抗体检测结果为有反应，经过确证试验确诊，及时转介到抗病毒治疗机构。</w:t>
      </w:r>
    </w:p>
    <w:p w14:paraId="104FFB20">
      <w:pPr>
        <w:pStyle w:val="165"/>
      </w:pPr>
      <w:r>
        <w:rPr>
          <w:rFonts w:hint="eastAsia"/>
        </w:rPr>
        <w:t>临床医生必须及时检测并了解求询者 HBV 和 HCV 感染状况。同时感染HCV和HIV，体内HIV抗体出现的时间可能会延迟，对于PEP启动前HCV抗体检测结果为阴性，而在HIV暴露后4-6周转阳的个体，需要在HIV暴露后3个月和6个月再次接受HIV抗体检测，才能排除HIV感染。</w:t>
      </w:r>
    </w:p>
    <w:p w14:paraId="377F824A">
      <w:pPr>
        <w:pStyle w:val="112"/>
        <w:spacing w:before="156" w:after="156"/>
      </w:pPr>
      <w:r>
        <w:rPr>
          <w:rFonts w:hint="eastAsia"/>
        </w:rPr>
        <w:t>HIV暴露后预防（PEP）检测项目一览表</w:t>
      </w:r>
    </w:p>
    <w:tbl>
      <w:tblPr>
        <w:tblStyle w:val="231"/>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391"/>
        <w:gridCol w:w="1003"/>
        <w:gridCol w:w="991"/>
        <w:gridCol w:w="991"/>
        <w:gridCol w:w="991"/>
        <w:gridCol w:w="930"/>
      </w:tblGrid>
      <w:tr w14:paraId="47A35F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3391" w:type="dxa"/>
            <w:vMerge w:val="restart"/>
            <w:shd w:val="clear" w:color="auto" w:fill="auto"/>
            <w:vAlign w:val="center"/>
          </w:tcPr>
          <w:p w14:paraId="473A60E8">
            <w:pPr>
              <w:widowControl/>
              <w:adjustRightInd/>
              <w:spacing w:line="240" w:lineRule="auto"/>
              <w:jc w:val="center"/>
              <w:rPr>
                <w:rFonts w:ascii="宋体" w:hAnsi="宋体" w:eastAsia="宋体"/>
                <w:sz w:val="18"/>
                <w:szCs w:val="18"/>
              </w:rPr>
            </w:pPr>
            <w:r>
              <w:rPr>
                <w:rFonts w:hint="eastAsia" w:ascii="宋体" w:hAnsi="宋体" w:eastAsia="宋体"/>
                <w:sz w:val="18"/>
                <w:szCs w:val="18"/>
              </w:rPr>
              <w:t>检测结果</w:t>
            </w:r>
          </w:p>
        </w:tc>
        <w:tc>
          <w:tcPr>
            <w:tcW w:w="1002" w:type="dxa"/>
            <w:shd w:val="clear" w:color="auto" w:fill="auto"/>
            <w:vAlign w:val="center"/>
          </w:tcPr>
          <w:p w14:paraId="33AA1FDC">
            <w:pPr>
              <w:widowControl/>
              <w:adjustRightInd/>
              <w:spacing w:line="240" w:lineRule="auto"/>
              <w:jc w:val="center"/>
              <w:rPr>
                <w:rFonts w:ascii="宋体" w:hAnsi="宋体" w:eastAsia="宋体"/>
                <w:sz w:val="18"/>
                <w:szCs w:val="18"/>
              </w:rPr>
            </w:pPr>
            <w:r>
              <w:rPr>
                <w:rFonts w:hint="eastAsia" w:ascii="宋体" w:hAnsi="宋体" w:eastAsia="宋体"/>
                <w:sz w:val="18"/>
                <w:szCs w:val="18"/>
              </w:rPr>
              <w:t>暴露源</w:t>
            </w:r>
          </w:p>
        </w:tc>
        <w:tc>
          <w:tcPr>
            <w:tcW w:w="3903" w:type="dxa"/>
            <w:gridSpan w:val="4"/>
            <w:shd w:val="clear" w:color="auto" w:fill="auto"/>
            <w:vAlign w:val="center"/>
          </w:tcPr>
          <w:p w14:paraId="49AD0F01">
            <w:pPr>
              <w:widowControl/>
              <w:adjustRightInd/>
              <w:spacing w:line="240" w:lineRule="auto"/>
              <w:jc w:val="center"/>
              <w:rPr>
                <w:rFonts w:ascii="宋体" w:hAnsi="宋体" w:eastAsia="宋体"/>
                <w:sz w:val="18"/>
                <w:szCs w:val="18"/>
              </w:rPr>
            </w:pPr>
            <w:r>
              <w:rPr>
                <w:rFonts w:hint="eastAsia" w:ascii="宋体" w:hAnsi="宋体" w:eastAsia="宋体"/>
                <w:sz w:val="18"/>
                <w:szCs w:val="18"/>
              </w:rPr>
              <w:t>暴露者</w:t>
            </w:r>
          </w:p>
        </w:tc>
      </w:tr>
      <w:tr w14:paraId="3AA1AB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0" w:type="auto"/>
            <w:vMerge w:val="continue"/>
            <w:shd w:val="clear" w:color="auto" w:fill="auto"/>
            <w:vAlign w:val="center"/>
          </w:tcPr>
          <w:p w14:paraId="4ADB1EAF">
            <w:pPr>
              <w:widowControl/>
              <w:adjustRightInd/>
              <w:spacing w:line="240" w:lineRule="auto"/>
              <w:jc w:val="left"/>
              <w:rPr>
                <w:rFonts w:ascii="宋体" w:hAnsi="宋体" w:eastAsia="宋体"/>
                <w:sz w:val="18"/>
                <w:szCs w:val="18"/>
              </w:rPr>
            </w:pPr>
          </w:p>
        </w:tc>
        <w:tc>
          <w:tcPr>
            <w:tcW w:w="1002" w:type="dxa"/>
            <w:shd w:val="clear" w:color="auto" w:fill="auto"/>
            <w:vAlign w:val="center"/>
          </w:tcPr>
          <w:p w14:paraId="3DDFFE3B">
            <w:pPr>
              <w:widowControl/>
              <w:adjustRightInd/>
              <w:spacing w:line="240" w:lineRule="auto"/>
              <w:jc w:val="center"/>
              <w:rPr>
                <w:rFonts w:ascii="宋体" w:hAnsi="宋体" w:eastAsia="宋体"/>
                <w:sz w:val="18"/>
                <w:szCs w:val="18"/>
              </w:rPr>
            </w:pPr>
            <w:r>
              <w:rPr>
                <w:rFonts w:hint="eastAsia" w:ascii="宋体" w:hAnsi="宋体" w:eastAsia="宋体"/>
                <w:sz w:val="18"/>
                <w:szCs w:val="18"/>
              </w:rPr>
              <w:t>基线</w:t>
            </w:r>
          </w:p>
        </w:tc>
        <w:tc>
          <w:tcPr>
            <w:tcW w:w="991" w:type="dxa"/>
            <w:shd w:val="clear" w:color="auto" w:fill="auto"/>
            <w:vAlign w:val="center"/>
          </w:tcPr>
          <w:p w14:paraId="258A8D7F">
            <w:pPr>
              <w:widowControl/>
              <w:adjustRightInd/>
              <w:spacing w:line="240" w:lineRule="auto"/>
              <w:jc w:val="center"/>
              <w:rPr>
                <w:rFonts w:ascii="宋体" w:hAnsi="宋体" w:eastAsia="宋体"/>
                <w:sz w:val="18"/>
                <w:szCs w:val="18"/>
              </w:rPr>
            </w:pPr>
            <w:r>
              <w:rPr>
                <w:rFonts w:hint="eastAsia" w:ascii="宋体" w:hAnsi="宋体" w:eastAsia="宋体"/>
                <w:sz w:val="18"/>
                <w:szCs w:val="18"/>
              </w:rPr>
              <w:t>基线</w:t>
            </w:r>
          </w:p>
        </w:tc>
        <w:tc>
          <w:tcPr>
            <w:tcW w:w="991" w:type="dxa"/>
            <w:shd w:val="clear" w:color="auto" w:fill="auto"/>
            <w:vAlign w:val="center"/>
          </w:tcPr>
          <w:p w14:paraId="58A4D514">
            <w:pPr>
              <w:widowControl/>
              <w:adjustRightInd/>
              <w:spacing w:line="240" w:lineRule="auto"/>
              <w:jc w:val="center"/>
              <w:rPr>
                <w:rFonts w:ascii="宋体" w:hAnsi="宋体" w:eastAsia="宋体"/>
                <w:sz w:val="18"/>
                <w:szCs w:val="18"/>
              </w:rPr>
            </w:pPr>
            <w:r>
              <w:rPr>
                <w:rFonts w:hint="eastAsia" w:ascii="宋体" w:hAnsi="宋体" w:eastAsia="宋体"/>
                <w:sz w:val="18"/>
                <w:szCs w:val="18"/>
              </w:rPr>
              <w:t>暴露后2周</w:t>
            </w:r>
          </w:p>
        </w:tc>
        <w:tc>
          <w:tcPr>
            <w:tcW w:w="991" w:type="dxa"/>
            <w:shd w:val="clear" w:color="auto" w:fill="auto"/>
            <w:vAlign w:val="center"/>
          </w:tcPr>
          <w:p w14:paraId="22B3CBCF">
            <w:pPr>
              <w:widowControl/>
              <w:adjustRightInd/>
              <w:spacing w:line="240" w:lineRule="auto"/>
              <w:jc w:val="center"/>
              <w:rPr>
                <w:rFonts w:ascii="宋体" w:hAnsi="宋体" w:eastAsia="宋体"/>
                <w:sz w:val="18"/>
                <w:szCs w:val="18"/>
              </w:rPr>
            </w:pPr>
            <w:r>
              <w:rPr>
                <w:rFonts w:hint="eastAsia" w:ascii="宋体" w:hAnsi="宋体" w:eastAsia="宋体"/>
                <w:sz w:val="18"/>
                <w:szCs w:val="18"/>
              </w:rPr>
              <w:t>暴露后4周</w:t>
            </w:r>
          </w:p>
        </w:tc>
        <w:tc>
          <w:tcPr>
            <w:tcW w:w="930" w:type="dxa"/>
            <w:shd w:val="clear" w:color="auto" w:fill="auto"/>
            <w:vAlign w:val="center"/>
          </w:tcPr>
          <w:p w14:paraId="490CD333">
            <w:pPr>
              <w:widowControl/>
              <w:adjustRightInd/>
              <w:spacing w:line="240" w:lineRule="auto"/>
              <w:jc w:val="center"/>
              <w:rPr>
                <w:rFonts w:ascii="宋体" w:hAnsi="宋体" w:eastAsia="宋体"/>
                <w:sz w:val="18"/>
                <w:szCs w:val="18"/>
              </w:rPr>
            </w:pPr>
            <w:r>
              <w:rPr>
                <w:rFonts w:hint="eastAsia" w:ascii="宋体" w:hAnsi="宋体" w:eastAsia="宋体"/>
                <w:sz w:val="18"/>
                <w:szCs w:val="18"/>
              </w:rPr>
              <w:t>暴露后3个月</w:t>
            </w:r>
          </w:p>
        </w:tc>
      </w:tr>
      <w:tr w14:paraId="5308BC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3391" w:type="dxa"/>
            <w:shd w:val="clear" w:color="auto" w:fill="auto"/>
          </w:tcPr>
          <w:p w14:paraId="24B7B43C">
            <w:pPr>
              <w:widowControl/>
              <w:adjustRightInd/>
              <w:spacing w:line="240" w:lineRule="auto"/>
              <w:jc w:val="left"/>
              <w:rPr>
                <w:rFonts w:ascii="宋体" w:hAnsi="宋体" w:eastAsia="宋体"/>
                <w:sz w:val="18"/>
                <w:szCs w:val="18"/>
              </w:rPr>
            </w:pPr>
            <w:r>
              <w:rPr>
                <w:rFonts w:hint="eastAsia" w:ascii="宋体" w:hAnsi="宋体" w:eastAsia="宋体"/>
                <w:sz w:val="18"/>
                <w:szCs w:val="18"/>
              </w:rPr>
              <w:t>HIV抗原/抗体检测</w:t>
            </w:r>
          </w:p>
        </w:tc>
        <w:tc>
          <w:tcPr>
            <w:tcW w:w="1002" w:type="dxa"/>
            <w:shd w:val="clear" w:color="auto" w:fill="auto"/>
          </w:tcPr>
          <w:p w14:paraId="57D3E72E">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0A54DF06">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09D7ACDD">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0DB7C329">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30" w:type="dxa"/>
            <w:shd w:val="clear" w:color="auto" w:fill="auto"/>
          </w:tcPr>
          <w:p w14:paraId="6E7B02FC">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r>
      <w:tr w14:paraId="6C2CC6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3391" w:type="dxa"/>
            <w:shd w:val="clear" w:color="auto" w:fill="auto"/>
          </w:tcPr>
          <w:p w14:paraId="7B956303">
            <w:pPr>
              <w:widowControl/>
              <w:adjustRightInd/>
              <w:spacing w:line="240" w:lineRule="auto"/>
              <w:jc w:val="left"/>
              <w:rPr>
                <w:rFonts w:ascii="宋体" w:hAnsi="宋体" w:eastAsia="宋体"/>
                <w:sz w:val="18"/>
                <w:szCs w:val="18"/>
              </w:rPr>
            </w:pPr>
            <w:r>
              <w:rPr>
                <w:rFonts w:hint="eastAsia" w:ascii="宋体" w:hAnsi="宋体" w:eastAsia="宋体"/>
                <w:sz w:val="18"/>
                <w:szCs w:val="18"/>
              </w:rPr>
              <w:t>乙肝血清学检测</w:t>
            </w:r>
          </w:p>
        </w:tc>
        <w:tc>
          <w:tcPr>
            <w:tcW w:w="1002" w:type="dxa"/>
            <w:shd w:val="clear" w:color="auto" w:fill="auto"/>
          </w:tcPr>
          <w:p w14:paraId="674C35DE">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56271C4A">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73F6BAF6">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0BE5CF4C">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30" w:type="dxa"/>
            <w:shd w:val="clear" w:color="auto" w:fill="auto"/>
          </w:tcPr>
          <w:p w14:paraId="4667A519">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r>
      <w:tr w14:paraId="174609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3391" w:type="dxa"/>
            <w:shd w:val="clear" w:color="auto" w:fill="auto"/>
          </w:tcPr>
          <w:p w14:paraId="2E769DE0">
            <w:pPr>
              <w:widowControl/>
              <w:adjustRightInd/>
              <w:spacing w:line="240" w:lineRule="auto"/>
              <w:jc w:val="left"/>
              <w:rPr>
                <w:rFonts w:ascii="宋体" w:hAnsi="宋体" w:eastAsia="宋体"/>
                <w:sz w:val="18"/>
                <w:szCs w:val="18"/>
              </w:rPr>
            </w:pPr>
            <w:r>
              <w:rPr>
                <w:rFonts w:hint="eastAsia" w:ascii="宋体" w:hAnsi="宋体" w:eastAsia="宋体"/>
                <w:sz w:val="18"/>
                <w:szCs w:val="18"/>
              </w:rPr>
              <w:t>丙肝抗体检测</w:t>
            </w:r>
          </w:p>
        </w:tc>
        <w:tc>
          <w:tcPr>
            <w:tcW w:w="1002" w:type="dxa"/>
            <w:shd w:val="clear" w:color="auto" w:fill="auto"/>
          </w:tcPr>
          <w:p w14:paraId="192DBF21">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0E2CD88C">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779A5E80">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631DC79B">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30" w:type="dxa"/>
            <w:shd w:val="clear" w:color="auto" w:fill="auto"/>
          </w:tcPr>
          <w:p w14:paraId="20364AF7">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r>
      <w:tr w14:paraId="6D8E85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3391" w:type="dxa"/>
            <w:shd w:val="clear" w:color="auto" w:fill="auto"/>
          </w:tcPr>
          <w:p w14:paraId="6E45983E">
            <w:pPr>
              <w:widowControl/>
              <w:adjustRightInd/>
              <w:spacing w:line="240" w:lineRule="auto"/>
              <w:jc w:val="center"/>
              <w:rPr>
                <w:rFonts w:ascii="宋体" w:hAnsi="宋体" w:eastAsia="宋体"/>
                <w:sz w:val="18"/>
                <w:szCs w:val="18"/>
              </w:rPr>
            </w:pPr>
          </w:p>
        </w:tc>
        <w:tc>
          <w:tcPr>
            <w:tcW w:w="1002" w:type="dxa"/>
            <w:shd w:val="clear" w:color="auto" w:fill="auto"/>
          </w:tcPr>
          <w:p w14:paraId="1190E877">
            <w:pPr>
              <w:widowControl/>
              <w:adjustRightInd/>
              <w:spacing w:line="240" w:lineRule="auto"/>
              <w:jc w:val="center"/>
              <w:rPr>
                <w:rFonts w:ascii="宋体" w:hAnsi="宋体" w:eastAsia="宋体"/>
                <w:sz w:val="18"/>
                <w:szCs w:val="18"/>
              </w:rPr>
            </w:pPr>
          </w:p>
        </w:tc>
        <w:tc>
          <w:tcPr>
            <w:tcW w:w="3903" w:type="dxa"/>
            <w:gridSpan w:val="4"/>
            <w:shd w:val="clear" w:color="auto" w:fill="auto"/>
          </w:tcPr>
          <w:p w14:paraId="5B11EED3">
            <w:pPr>
              <w:widowControl/>
              <w:adjustRightInd/>
              <w:spacing w:line="240" w:lineRule="auto"/>
              <w:jc w:val="center"/>
              <w:rPr>
                <w:rFonts w:ascii="宋体" w:hAnsi="宋体" w:eastAsia="宋体"/>
                <w:sz w:val="18"/>
                <w:szCs w:val="18"/>
              </w:rPr>
            </w:pPr>
            <w:r>
              <w:rPr>
                <w:rFonts w:hint="eastAsia" w:ascii="宋体" w:hAnsi="宋体" w:eastAsia="宋体"/>
                <w:sz w:val="18"/>
                <w:szCs w:val="18"/>
              </w:rPr>
              <w:t>因性行为暴露者</w:t>
            </w:r>
          </w:p>
        </w:tc>
      </w:tr>
      <w:tr w14:paraId="567D6A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3391" w:type="dxa"/>
            <w:shd w:val="clear" w:color="auto" w:fill="auto"/>
          </w:tcPr>
          <w:p w14:paraId="7121541B">
            <w:pPr>
              <w:widowControl/>
              <w:adjustRightInd/>
              <w:spacing w:line="240" w:lineRule="auto"/>
              <w:jc w:val="left"/>
              <w:rPr>
                <w:rFonts w:ascii="宋体" w:hAnsi="宋体" w:eastAsia="宋体"/>
                <w:sz w:val="18"/>
                <w:szCs w:val="18"/>
              </w:rPr>
            </w:pPr>
            <w:r>
              <w:rPr>
                <w:rFonts w:hint="eastAsia" w:ascii="宋体" w:hAnsi="宋体" w:eastAsia="宋体"/>
                <w:sz w:val="18"/>
                <w:szCs w:val="18"/>
              </w:rPr>
              <w:t>梅毒血清学检测</w:t>
            </w:r>
          </w:p>
        </w:tc>
        <w:tc>
          <w:tcPr>
            <w:tcW w:w="1002" w:type="dxa"/>
            <w:shd w:val="clear" w:color="auto" w:fill="auto"/>
          </w:tcPr>
          <w:p w14:paraId="1061480D">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61871245">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104E8B97">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71B1AAFD">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30" w:type="dxa"/>
            <w:shd w:val="clear" w:color="auto" w:fill="auto"/>
          </w:tcPr>
          <w:p w14:paraId="30C952E1">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r>
      <w:tr w14:paraId="5A8CAB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3391" w:type="dxa"/>
            <w:shd w:val="clear" w:color="auto" w:fill="auto"/>
          </w:tcPr>
          <w:p w14:paraId="2BEBEDF5">
            <w:pPr>
              <w:widowControl/>
              <w:adjustRightInd/>
              <w:spacing w:line="240" w:lineRule="auto"/>
              <w:jc w:val="left"/>
              <w:rPr>
                <w:rFonts w:ascii="宋体" w:hAnsi="宋体" w:eastAsia="宋体"/>
                <w:sz w:val="18"/>
                <w:szCs w:val="18"/>
              </w:rPr>
            </w:pPr>
            <w:r>
              <w:rPr>
                <w:rFonts w:hint="eastAsia" w:ascii="宋体" w:hAnsi="宋体" w:eastAsia="宋体"/>
                <w:sz w:val="18"/>
                <w:szCs w:val="18"/>
              </w:rPr>
              <w:t>淋病、衣原体感染</w:t>
            </w:r>
          </w:p>
        </w:tc>
        <w:tc>
          <w:tcPr>
            <w:tcW w:w="1002" w:type="dxa"/>
            <w:shd w:val="clear" w:color="auto" w:fill="auto"/>
          </w:tcPr>
          <w:p w14:paraId="296702E1">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663ACAC7">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0299FABF">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7E102E8E">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30" w:type="dxa"/>
            <w:shd w:val="clear" w:color="auto" w:fill="auto"/>
          </w:tcPr>
          <w:p w14:paraId="356E7213">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r>
      <w:tr w14:paraId="164F93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3390" w:type="dxa"/>
            <w:shd w:val="clear" w:color="auto" w:fill="auto"/>
          </w:tcPr>
          <w:p w14:paraId="246DB149">
            <w:pPr>
              <w:widowControl/>
              <w:adjustRightInd/>
              <w:spacing w:line="240" w:lineRule="auto"/>
              <w:jc w:val="center"/>
              <w:rPr>
                <w:rFonts w:ascii="宋体" w:hAnsi="宋体" w:eastAsia="宋体"/>
                <w:sz w:val="18"/>
                <w:szCs w:val="18"/>
              </w:rPr>
            </w:pPr>
          </w:p>
        </w:tc>
        <w:tc>
          <w:tcPr>
            <w:tcW w:w="1003" w:type="dxa"/>
            <w:shd w:val="clear" w:color="auto" w:fill="auto"/>
          </w:tcPr>
          <w:p w14:paraId="039DD637">
            <w:pPr>
              <w:widowControl/>
              <w:adjustRightInd/>
              <w:spacing w:line="240" w:lineRule="auto"/>
              <w:jc w:val="center"/>
              <w:rPr>
                <w:rFonts w:ascii="宋体" w:hAnsi="宋体" w:eastAsia="宋体"/>
                <w:sz w:val="18"/>
                <w:szCs w:val="18"/>
              </w:rPr>
            </w:pPr>
          </w:p>
        </w:tc>
        <w:tc>
          <w:tcPr>
            <w:tcW w:w="3903" w:type="dxa"/>
            <w:gridSpan w:val="4"/>
            <w:shd w:val="clear" w:color="auto" w:fill="auto"/>
          </w:tcPr>
          <w:p w14:paraId="63EA86C4">
            <w:pPr>
              <w:widowControl/>
              <w:adjustRightInd/>
              <w:spacing w:line="240" w:lineRule="auto"/>
              <w:jc w:val="center"/>
              <w:rPr>
                <w:rFonts w:ascii="宋体" w:hAnsi="宋体" w:eastAsia="宋体"/>
                <w:sz w:val="18"/>
                <w:szCs w:val="18"/>
              </w:rPr>
            </w:pPr>
            <w:r>
              <w:rPr>
                <w:rFonts w:hint="eastAsia" w:ascii="宋体" w:hAnsi="宋体" w:eastAsia="宋体"/>
                <w:sz w:val="18"/>
                <w:szCs w:val="18"/>
              </w:rPr>
              <w:t>服药者</w:t>
            </w:r>
          </w:p>
        </w:tc>
      </w:tr>
      <w:tr w14:paraId="3220EF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3391" w:type="dxa"/>
            <w:shd w:val="clear" w:color="auto" w:fill="auto"/>
          </w:tcPr>
          <w:p w14:paraId="1ACC61F1">
            <w:pPr>
              <w:widowControl/>
              <w:adjustRightInd/>
              <w:spacing w:line="240" w:lineRule="auto"/>
              <w:jc w:val="left"/>
              <w:rPr>
                <w:rFonts w:ascii="宋体" w:hAnsi="宋体" w:eastAsia="宋体"/>
                <w:sz w:val="18"/>
                <w:szCs w:val="18"/>
              </w:rPr>
            </w:pPr>
            <w:r>
              <w:rPr>
                <w:rFonts w:hint="eastAsia" w:ascii="宋体" w:hAnsi="宋体" w:eastAsia="宋体"/>
                <w:sz w:val="18"/>
                <w:szCs w:val="18"/>
              </w:rPr>
              <w:t>血清肌酐（用于估算 eGFR）</w:t>
            </w:r>
          </w:p>
        </w:tc>
        <w:tc>
          <w:tcPr>
            <w:tcW w:w="1002" w:type="dxa"/>
            <w:shd w:val="clear" w:color="auto" w:fill="auto"/>
          </w:tcPr>
          <w:p w14:paraId="46B46D1F">
            <w:pPr>
              <w:widowControl/>
              <w:adjustRightInd/>
              <w:spacing w:line="240" w:lineRule="auto"/>
              <w:jc w:val="center"/>
              <w:rPr>
                <w:rFonts w:ascii="宋体" w:hAnsi="宋体" w:eastAsia="宋体"/>
                <w:sz w:val="18"/>
                <w:szCs w:val="18"/>
              </w:rPr>
            </w:pPr>
          </w:p>
        </w:tc>
        <w:tc>
          <w:tcPr>
            <w:tcW w:w="991" w:type="dxa"/>
            <w:shd w:val="clear" w:color="auto" w:fill="auto"/>
          </w:tcPr>
          <w:p w14:paraId="25E335EE">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7F89902A">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465F311A">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30" w:type="dxa"/>
            <w:shd w:val="clear" w:color="auto" w:fill="auto"/>
          </w:tcPr>
          <w:p w14:paraId="18BDA2C2">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r>
      <w:tr w14:paraId="14C705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3391" w:type="dxa"/>
            <w:shd w:val="clear" w:color="auto" w:fill="auto"/>
          </w:tcPr>
          <w:p w14:paraId="5146D661">
            <w:pPr>
              <w:widowControl/>
              <w:adjustRightInd/>
              <w:spacing w:line="240" w:lineRule="auto"/>
              <w:jc w:val="left"/>
              <w:rPr>
                <w:rFonts w:ascii="宋体" w:hAnsi="宋体" w:eastAsia="宋体"/>
                <w:sz w:val="18"/>
                <w:szCs w:val="18"/>
              </w:rPr>
            </w:pPr>
            <w:r>
              <w:rPr>
                <w:rFonts w:hint="eastAsia" w:ascii="宋体" w:hAnsi="宋体" w:eastAsia="宋体"/>
                <w:sz w:val="18"/>
                <w:szCs w:val="18"/>
              </w:rPr>
              <w:t>丙氨酸转氨酶、天冬氨酸转氨酶</w:t>
            </w:r>
          </w:p>
        </w:tc>
        <w:tc>
          <w:tcPr>
            <w:tcW w:w="1002" w:type="dxa"/>
            <w:shd w:val="clear" w:color="auto" w:fill="auto"/>
          </w:tcPr>
          <w:p w14:paraId="55E088E7">
            <w:pPr>
              <w:widowControl/>
              <w:adjustRightInd/>
              <w:spacing w:line="240" w:lineRule="auto"/>
              <w:jc w:val="center"/>
              <w:rPr>
                <w:rFonts w:ascii="宋体" w:hAnsi="宋体" w:eastAsia="宋体"/>
                <w:sz w:val="18"/>
                <w:szCs w:val="18"/>
              </w:rPr>
            </w:pPr>
          </w:p>
        </w:tc>
        <w:tc>
          <w:tcPr>
            <w:tcW w:w="991" w:type="dxa"/>
            <w:shd w:val="clear" w:color="auto" w:fill="auto"/>
          </w:tcPr>
          <w:p w14:paraId="6394379F">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669174E1">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91" w:type="dxa"/>
            <w:shd w:val="clear" w:color="auto" w:fill="auto"/>
          </w:tcPr>
          <w:p w14:paraId="1A062F53">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c>
          <w:tcPr>
            <w:tcW w:w="930" w:type="dxa"/>
            <w:shd w:val="clear" w:color="auto" w:fill="auto"/>
          </w:tcPr>
          <w:p w14:paraId="4D3309C9">
            <w:pPr>
              <w:widowControl/>
              <w:adjustRightInd/>
              <w:spacing w:line="240" w:lineRule="auto"/>
              <w:jc w:val="center"/>
              <w:rPr>
                <w:rFonts w:ascii="宋体" w:hAnsi="宋体" w:eastAsia="宋体"/>
                <w:sz w:val="18"/>
                <w:szCs w:val="18"/>
              </w:rPr>
            </w:pPr>
            <w:r>
              <w:rPr>
                <w:rFonts w:hint="eastAsia" w:ascii="宋体" w:hAnsi="宋体" w:eastAsia="宋体"/>
                <w:sz w:val="18"/>
                <w:szCs w:val="18"/>
              </w:rPr>
              <w:t>-</w:t>
            </w:r>
          </w:p>
        </w:tc>
      </w:tr>
    </w:tbl>
    <w:p w14:paraId="14E104EE">
      <w:pPr>
        <w:widowControl/>
        <w:adjustRightInd/>
        <w:spacing w:line="240" w:lineRule="auto"/>
        <w:jc w:val="left"/>
        <w:rPr>
          <w:rFonts w:ascii="华文宋体" w:hAnsi="华文宋体" w:eastAsia="华文宋体"/>
          <w:sz w:val="24"/>
          <w:szCs w:val="24"/>
        </w:rPr>
      </w:pPr>
      <w:r>
        <w:rPr>
          <w:rFonts w:hint="eastAsia" w:ascii="华文宋体" w:hAnsi="华文宋体" w:eastAsia="华文宋体"/>
          <w:sz w:val="24"/>
          <w:szCs w:val="24"/>
        </w:rPr>
        <w:t xml:space="preserve"> </w:t>
      </w:r>
      <w:r>
        <w:rPr>
          <w:rFonts w:hint="eastAsia" w:ascii="华文宋体" w:hAnsi="华文宋体" w:eastAsia="华文宋体"/>
          <w:sz w:val="24"/>
          <w:szCs w:val="24"/>
        </w:rPr>
        <w:drawing>
          <wp:inline distT="0" distB="0" distL="0" distR="0">
            <wp:extent cx="5448300" cy="5080000"/>
            <wp:effectExtent l="0" t="0" r="0" b="6350"/>
            <wp:docPr id="8417508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750844" name="图片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448300" cy="5080000"/>
                    </a:xfrm>
                    <a:prstGeom prst="rect">
                      <a:avLst/>
                    </a:prstGeom>
                    <a:noFill/>
                  </pic:spPr>
                </pic:pic>
              </a:graphicData>
            </a:graphic>
          </wp:inline>
        </w:drawing>
      </w:r>
    </w:p>
    <w:p w14:paraId="592B3EA6">
      <w:pPr>
        <w:pStyle w:val="114"/>
        <w:spacing w:before="156" w:after="156"/>
      </w:pPr>
      <w:r>
        <w:rPr>
          <w:rFonts w:hint="eastAsia"/>
        </w:rPr>
        <w:t>HIV暴露后预防（PEP）工作流程图</w:t>
      </w:r>
    </w:p>
    <w:p w14:paraId="481CEE84">
      <w:pPr>
        <w:pStyle w:val="56"/>
        <w:ind w:firstLine="420"/>
        <w:sectPr>
          <w:pgSz w:w="11906" w:h="16838"/>
          <w:pgMar w:top="1928" w:right="1134" w:bottom="1134" w:left="1134" w:header="1418" w:footer="1134" w:gutter="284"/>
          <w:pgNumType w:start="1"/>
          <w:cols w:space="425" w:num="1"/>
          <w:formProt w:val="0"/>
          <w:docGrid w:type="lines" w:linePitch="312" w:charSpace="0"/>
        </w:sectPr>
      </w:pPr>
    </w:p>
    <w:bookmarkEnd w:id="22"/>
    <w:p w14:paraId="55EB5850">
      <w:pPr>
        <w:pStyle w:val="198"/>
      </w:pPr>
      <w:bookmarkStart w:id="44" w:name="BookMark5"/>
    </w:p>
    <w:p w14:paraId="420AC64E">
      <w:pPr>
        <w:pStyle w:val="199"/>
      </w:pPr>
    </w:p>
    <w:p w14:paraId="76FF14E8">
      <w:pPr>
        <w:pStyle w:val="76"/>
        <w:spacing w:after="156"/>
      </w:pPr>
      <w:r>
        <w:br w:type="textWrapping"/>
      </w:r>
      <w:r>
        <w:rPr>
          <w:rFonts w:hint="eastAsia"/>
        </w:rPr>
        <w:t>（资料性）</w:t>
      </w:r>
      <w:r>
        <w:br w:type="textWrapping"/>
      </w:r>
      <w:r>
        <w:rPr>
          <w:rFonts w:hint="eastAsia"/>
        </w:rPr>
        <w:t>HIV暴露后预防（PEP）适用性评估个案信息表</w:t>
      </w:r>
    </w:p>
    <w:p w14:paraId="1A5DD614">
      <w:pPr>
        <w:adjustRightInd/>
        <w:spacing w:line="240" w:lineRule="auto"/>
        <w:jc w:val="left"/>
        <w:rPr>
          <w:rFonts w:ascii="Times New Roman" w:hAnsi="Times New Roman"/>
          <w:b/>
          <w:bCs/>
        </w:rPr>
      </w:pPr>
      <w:r>
        <w:rPr>
          <w:rFonts w:hint="eastAsia" w:ascii="Times New Roman" w:hAnsi="Times New Roman"/>
          <w:b/>
          <w:bCs/>
        </w:rPr>
        <w:t>1</w:t>
      </w:r>
      <w:r>
        <w:rPr>
          <w:rFonts w:hint="eastAsia" w:ascii="宋体" w:hAnsi="宋体"/>
          <w:b/>
          <w:bCs/>
        </w:rPr>
        <w:t>、个案信息</w:t>
      </w:r>
    </w:p>
    <w:tbl>
      <w:tblPr>
        <w:tblStyle w:val="2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48"/>
        <w:gridCol w:w="4148"/>
      </w:tblGrid>
      <w:tr w14:paraId="412D7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8" w:type="dxa"/>
            <w:tcBorders>
              <w:top w:val="single" w:color="auto" w:sz="4" w:space="0"/>
              <w:left w:val="single" w:color="auto" w:sz="4" w:space="0"/>
              <w:bottom w:val="single" w:color="auto" w:sz="4" w:space="0"/>
              <w:right w:val="nil"/>
            </w:tcBorders>
          </w:tcPr>
          <w:p w14:paraId="0B62C412">
            <w:pPr>
              <w:adjustRightInd/>
              <w:spacing w:line="240" w:lineRule="auto"/>
              <w:rPr>
                <w:rFonts w:ascii="Times New Roman" w:hAnsi="Times New Roman" w:eastAsia="Times New Roman"/>
              </w:rPr>
            </w:pPr>
            <w:r>
              <w:rPr>
                <w:rFonts w:hint="eastAsia" w:ascii="宋体" w:hAnsi="宋体" w:eastAsia="Times New Roman"/>
              </w:rPr>
              <w:t>处置机构：</w:t>
            </w:r>
          </w:p>
        </w:tc>
        <w:tc>
          <w:tcPr>
            <w:tcW w:w="4148" w:type="dxa"/>
            <w:tcBorders>
              <w:top w:val="single" w:color="auto" w:sz="4" w:space="0"/>
              <w:left w:val="nil"/>
              <w:bottom w:val="single" w:color="auto" w:sz="4" w:space="0"/>
              <w:right w:val="single" w:color="auto" w:sz="4" w:space="0"/>
            </w:tcBorders>
          </w:tcPr>
          <w:p w14:paraId="6202BF78">
            <w:pPr>
              <w:adjustRightInd/>
              <w:spacing w:line="240" w:lineRule="auto"/>
              <w:rPr>
                <w:rFonts w:ascii="Times New Roman" w:hAnsi="Times New Roman" w:eastAsia="Times New Roman"/>
              </w:rPr>
            </w:pPr>
            <w:r>
              <w:rPr>
                <w:rFonts w:hint="eastAsia" w:ascii="宋体" w:hAnsi="宋体" w:eastAsia="Times New Roman"/>
              </w:rPr>
              <w:t>编号：</w:t>
            </w:r>
          </w:p>
        </w:tc>
      </w:tr>
      <w:tr w14:paraId="122B4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2"/>
            <w:tcBorders>
              <w:top w:val="single" w:color="auto" w:sz="4" w:space="0"/>
              <w:left w:val="single" w:color="auto" w:sz="4" w:space="0"/>
              <w:bottom w:val="single" w:color="auto" w:sz="4" w:space="0"/>
              <w:right w:val="single" w:color="auto" w:sz="4" w:space="0"/>
            </w:tcBorders>
          </w:tcPr>
          <w:p w14:paraId="6B13FA86">
            <w:pPr>
              <w:adjustRightInd/>
              <w:spacing w:line="240" w:lineRule="auto"/>
              <w:rPr>
                <w:rFonts w:ascii="Times New Roman" w:hAnsi="Times New Roman" w:eastAsia="Times New Roman"/>
              </w:rPr>
            </w:pPr>
            <w:r>
              <w:rPr>
                <w:rFonts w:hint="eastAsia" w:ascii="宋体" w:hAnsi="宋体" w:eastAsia="Times New Roman"/>
              </w:rPr>
              <w:t>就诊时间：</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年</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月</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日</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时</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分</w:t>
            </w:r>
          </w:p>
        </w:tc>
      </w:tr>
      <w:tr w14:paraId="4F3B2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8" w:type="dxa"/>
            <w:tcBorders>
              <w:top w:val="single" w:color="auto" w:sz="4" w:space="0"/>
              <w:left w:val="single" w:color="auto" w:sz="4" w:space="0"/>
              <w:bottom w:val="single" w:color="auto" w:sz="4" w:space="0"/>
              <w:right w:val="nil"/>
            </w:tcBorders>
          </w:tcPr>
          <w:p w14:paraId="1A3EC918">
            <w:pPr>
              <w:adjustRightInd/>
              <w:spacing w:line="240" w:lineRule="auto"/>
              <w:rPr>
                <w:rFonts w:ascii="Times New Roman" w:hAnsi="Times New Roman" w:eastAsia="Times New Roman"/>
              </w:rPr>
            </w:pPr>
            <w:r>
              <w:rPr>
                <w:rFonts w:hint="eastAsia" w:ascii="宋体" w:hAnsi="宋体" w:eastAsia="Times New Roman"/>
              </w:rPr>
              <w:t>姓名：</w:t>
            </w:r>
          </w:p>
        </w:tc>
        <w:tc>
          <w:tcPr>
            <w:tcW w:w="4148" w:type="dxa"/>
            <w:tcBorders>
              <w:top w:val="single" w:color="auto" w:sz="4" w:space="0"/>
              <w:left w:val="nil"/>
              <w:bottom w:val="single" w:color="auto" w:sz="4" w:space="0"/>
              <w:right w:val="single" w:color="auto" w:sz="4" w:space="0"/>
            </w:tcBorders>
          </w:tcPr>
          <w:p w14:paraId="69051020">
            <w:pPr>
              <w:adjustRightInd/>
              <w:spacing w:line="240" w:lineRule="auto"/>
              <w:rPr>
                <w:rFonts w:ascii="Times New Roman" w:hAnsi="Times New Roman" w:eastAsia="Times New Roman"/>
              </w:rPr>
            </w:pPr>
            <w:r>
              <w:rPr>
                <w:rFonts w:hint="eastAsia" w:ascii="宋体" w:hAnsi="宋体" w:eastAsia="Times New Roman"/>
              </w:rPr>
              <w:t>性别：</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□男</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□女</w:t>
            </w:r>
          </w:p>
        </w:tc>
      </w:tr>
      <w:tr w14:paraId="15F93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8" w:type="dxa"/>
            <w:tcBorders>
              <w:top w:val="single" w:color="auto" w:sz="4" w:space="0"/>
              <w:left w:val="single" w:color="auto" w:sz="4" w:space="0"/>
              <w:bottom w:val="single" w:color="auto" w:sz="4" w:space="0"/>
              <w:right w:val="nil"/>
            </w:tcBorders>
          </w:tcPr>
          <w:p w14:paraId="5986E18C">
            <w:pPr>
              <w:adjustRightInd/>
              <w:spacing w:line="240" w:lineRule="auto"/>
              <w:rPr>
                <w:rFonts w:ascii="Times New Roman" w:hAnsi="Times New Roman" w:eastAsia="Times New Roman"/>
              </w:rPr>
            </w:pPr>
            <w:r>
              <w:rPr>
                <w:rFonts w:hint="eastAsia" w:ascii="宋体" w:hAnsi="宋体" w:eastAsia="Times New Roman"/>
              </w:rPr>
              <w:t>出生年月：</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年</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月</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日</w:t>
            </w:r>
          </w:p>
        </w:tc>
        <w:tc>
          <w:tcPr>
            <w:tcW w:w="4148" w:type="dxa"/>
            <w:tcBorders>
              <w:top w:val="single" w:color="auto" w:sz="4" w:space="0"/>
              <w:left w:val="nil"/>
              <w:bottom w:val="single" w:color="auto" w:sz="4" w:space="0"/>
              <w:right w:val="single" w:color="auto" w:sz="4" w:space="0"/>
            </w:tcBorders>
          </w:tcPr>
          <w:p w14:paraId="7674A493">
            <w:pPr>
              <w:adjustRightInd/>
              <w:spacing w:line="240" w:lineRule="auto"/>
              <w:rPr>
                <w:rFonts w:ascii="Times New Roman" w:hAnsi="Times New Roman" w:eastAsia="Times New Roman"/>
              </w:rPr>
            </w:pPr>
            <w:r>
              <w:rPr>
                <w:rFonts w:hint="eastAsia" w:ascii="宋体" w:hAnsi="宋体" w:eastAsia="Times New Roman"/>
              </w:rPr>
              <w:t>手机号码：</w:t>
            </w:r>
          </w:p>
        </w:tc>
      </w:tr>
      <w:tr w14:paraId="2D576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2"/>
            <w:tcBorders>
              <w:top w:val="single" w:color="auto" w:sz="4" w:space="0"/>
              <w:left w:val="single" w:color="auto" w:sz="4" w:space="0"/>
              <w:bottom w:val="single" w:color="auto" w:sz="4" w:space="0"/>
              <w:right w:val="single" w:color="auto" w:sz="4" w:space="0"/>
            </w:tcBorders>
          </w:tcPr>
          <w:p w14:paraId="467DB317">
            <w:pPr>
              <w:adjustRightInd/>
              <w:spacing w:line="240" w:lineRule="auto"/>
              <w:rPr>
                <w:rFonts w:ascii="Times New Roman" w:hAnsi="Times New Roman" w:eastAsia="Times New Roman"/>
                <w:u w:val="single"/>
              </w:rPr>
            </w:pPr>
            <w:r>
              <w:rPr>
                <w:rFonts w:hint="eastAsia" w:ascii="宋体" w:hAnsi="宋体" w:eastAsia="Times New Roman"/>
              </w:rPr>
              <w:t>人群分类：</w:t>
            </w:r>
            <w:r>
              <w:rPr>
                <w:rFonts w:hint="eastAsia" w:ascii="Times New Roman" w:hAnsi="Times New Roman" w:eastAsia="Times New Roman"/>
              </w:rPr>
              <w:t xml:space="preserve"> </w:t>
            </w:r>
            <w:r>
              <w:rPr>
                <w:rFonts w:hint="eastAsia" w:ascii="宋体" w:hAnsi="宋体" w:eastAsia="Times New Roman"/>
              </w:rPr>
              <w:t>□</w:t>
            </w:r>
            <w:r>
              <w:rPr>
                <w:rFonts w:hint="eastAsia" w:ascii="Times New Roman" w:hAnsi="Times New Roman" w:eastAsia="Times New Roman"/>
              </w:rPr>
              <w:t xml:space="preserve">MSM </w:t>
            </w:r>
            <w:r>
              <w:rPr>
                <w:rFonts w:ascii="Times New Roman" w:hAnsi="Times New Roman" w:eastAsia="Times New Roman"/>
              </w:rPr>
              <w:t xml:space="preserve">   </w:t>
            </w:r>
            <w:r>
              <w:rPr>
                <w:rFonts w:hint="eastAsia" w:ascii="宋体" w:hAnsi="宋体" w:eastAsia="Times New Roman"/>
              </w:rPr>
              <w:t xml:space="preserve">□异性多性伴者 </w:t>
            </w:r>
            <w:r>
              <w:rPr>
                <w:rFonts w:hint="eastAsia" w:ascii="等线" w:hAnsi="等线" w:eastAsia="等线"/>
              </w:rPr>
              <w:t xml:space="preserve">   </w:t>
            </w:r>
            <w:r>
              <w:rPr>
                <w:rFonts w:hint="eastAsia" w:ascii="宋体" w:hAnsi="宋体" w:eastAsia="Times New Roman"/>
              </w:rPr>
              <w:t xml:space="preserve">□注射吸毒 </w:t>
            </w:r>
            <w:r>
              <w:rPr>
                <w:rFonts w:hint="eastAsia" w:ascii="等线" w:hAnsi="等线" w:eastAsia="等线"/>
              </w:rPr>
              <w:t xml:space="preserve">    </w:t>
            </w:r>
            <w:r>
              <w:rPr>
                <w:rFonts w:hint="eastAsia" w:ascii="宋体" w:hAnsi="宋体" w:eastAsia="Times New Roman"/>
              </w:rPr>
              <w:t>□其他人群</w:t>
            </w:r>
            <w:r>
              <w:rPr>
                <w:rFonts w:hint="eastAsia" w:ascii="等线" w:hAnsi="等线" w:eastAsia="等线"/>
                <w:u w:val="single"/>
              </w:rPr>
              <w:t xml:space="preserve">        </w:t>
            </w:r>
          </w:p>
        </w:tc>
      </w:tr>
    </w:tbl>
    <w:p w14:paraId="0820754B">
      <w:pPr>
        <w:adjustRightInd/>
        <w:spacing w:line="240" w:lineRule="auto"/>
        <w:jc w:val="center"/>
        <w:rPr>
          <w:rFonts w:ascii="Times New Roman" w:hAnsi="Times New Roman"/>
          <w:b/>
          <w:bCs/>
        </w:rPr>
      </w:pPr>
      <w:r>
        <w:rPr>
          <w:rFonts w:ascii="Times New Roman" w:hAnsi="Times New Roman"/>
          <w:b/>
          <w:bCs/>
        </w:rPr>
        <w:t xml:space="preserve"> </w:t>
      </w:r>
    </w:p>
    <w:p w14:paraId="26353883">
      <w:pPr>
        <w:adjustRightInd/>
        <w:spacing w:line="240" w:lineRule="auto"/>
        <w:rPr>
          <w:rFonts w:ascii="Times New Roman" w:hAnsi="Times New Roman"/>
          <w:b/>
          <w:bCs/>
        </w:rPr>
      </w:pPr>
      <w:r>
        <w:rPr>
          <w:rFonts w:hint="eastAsia" w:ascii="Times New Roman" w:hAnsi="Times New Roman"/>
          <w:b/>
          <w:bCs/>
        </w:rPr>
        <w:t>2</w:t>
      </w:r>
      <w:r>
        <w:rPr>
          <w:rFonts w:hint="eastAsia" w:ascii="宋体" w:hAnsi="宋体"/>
          <w:b/>
          <w:bCs/>
        </w:rPr>
        <w:t>、</w:t>
      </w:r>
      <w:r>
        <w:rPr>
          <w:rFonts w:hint="eastAsia" w:ascii="Times New Roman" w:hAnsi="Times New Roman"/>
          <w:b/>
          <w:bCs/>
        </w:rPr>
        <w:t>HIV</w:t>
      </w:r>
      <w:r>
        <w:rPr>
          <w:rFonts w:hint="eastAsia" w:ascii="宋体" w:hAnsi="宋体"/>
          <w:b/>
          <w:bCs/>
        </w:rPr>
        <w:t>暴露时间</w:t>
      </w:r>
    </w:p>
    <w:tbl>
      <w:tblPr>
        <w:tblStyle w:val="2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0A9AF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296" w:type="dxa"/>
            <w:tcBorders>
              <w:top w:val="single" w:color="auto" w:sz="4" w:space="0"/>
              <w:left w:val="single" w:color="auto" w:sz="4" w:space="0"/>
              <w:bottom w:val="single" w:color="auto" w:sz="4" w:space="0"/>
              <w:right w:val="single" w:color="auto" w:sz="4" w:space="0"/>
            </w:tcBorders>
          </w:tcPr>
          <w:p w14:paraId="3536BC99">
            <w:pPr>
              <w:adjustRightInd/>
              <w:spacing w:line="240" w:lineRule="auto"/>
              <w:rPr>
                <w:rFonts w:ascii="Times New Roman" w:hAnsi="Times New Roman" w:eastAsia="Times New Roman"/>
              </w:rPr>
            </w:pPr>
            <w:r>
              <w:rPr>
                <w:rFonts w:hint="eastAsia" w:ascii="Times New Roman" w:hAnsi="Times New Roman" w:eastAsia="Times New Roman"/>
              </w:rPr>
              <w:t>HIV</w:t>
            </w:r>
            <w:r>
              <w:rPr>
                <w:rFonts w:hint="eastAsia" w:ascii="宋体" w:hAnsi="宋体" w:eastAsia="Times New Roman"/>
              </w:rPr>
              <w:t xml:space="preserve">暴露时间： </w:t>
            </w:r>
            <w:r>
              <w:rPr>
                <w:rFonts w:ascii="Times New Roman" w:hAnsi="Times New Roman" w:eastAsia="Times New Roman"/>
              </w:rPr>
              <w:t xml:space="preserve">   </w:t>
            </w:r>
            <w:r>
              <w:rPr>
                <w:rFonts w:hint="eastAsia" w:ascii="宋体" w:hAnsi="宋体" w:eastAsia="Times New Roman"/>
              </w:rPr>
              <w:t xml:space="preserve">年 </w:t>
            </w:r>
            <w:r>
              <w:rPr>
                <w:rFonts w:ascii="Times New Roman" w:hAnsi="Times New Roman" w:eastAsia="Times New Roman"/>
              </w:rPr>
              <w:t xml:space="preserve">  </w:t>
            </w:r>
            <w:r>
              <w:rPr>
                <w:rFonts w:hint="eastAsia" w:ascii="宋体" w:hAnsi="宋体" w:eastAsia="Times New Roman"/>
              </w:rPr>
              <w:t xml:space="preserve">月 </w:t>
            </w:r>
            <w:r>
              <w:rPr>
                <w:rFonts w:ascii="Times New Roman" w:hAnsi="Times New Roman" w:eastAsia="Times New Roman"/>
              </w:rPr>
              <w:t xml:space="preserve">  </w:t>
            </w:r>
            <w:r>
              <w:rPr>
                <w:rFonts w:hint="eastAsia" w:ascii="宋体" w:hAnsi="宋体" w:eastAsia="Times New Roman"/>
              </w:rPr>
              <w:t xml:space="preserve">日 </w:t>
            </w:r>
            <w:r>
              <w:rPr>
                <w:rFonts w:ascii="Times New Roman" w:hAnsi="Times New Roman" w:eastAsia="Times New Roman"/>
              </w:rPr>
              <w:t xml:space="preserve">   </w:t>
            </w:r>
            <w:r>
              <w:rPr>
                <w:rFonts w:hint="eastAsia" w:ascii="宋体" w:hAnsi="宋体" w:eastAsia="Times New Roman"/>
              </w:rPr>
              <w:t xml:space="preserve">时 </w:t>
            </w:r>
            <w:r>
              <w:rPr>
                <w:rFonts w:ascii="Times New Roman" w:hAnsi="Times New Roman" w:eastAsia="Times New Roman"/>
              </w:rPr>
              <w:t xml:space="preserve">  </w:t>
            </w:r>
            <w:r>
              <w:rPr>
                <w:rFonts w:hint="eastAsia" w:ascii="宋体" w:hAnsi="宋体" w:eastAsia="Times New Roman"/>
              </w:rPr>
              <w:t>分</w:t>
            </w:r>
          </w:p>
        </w:tc>
      </w:tr>
      <w:tr w14:paraId="32BA7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4B4CDCC5">
            <w:pPr>
              <w:adjustRightInd/>
              <w:spacing w:line="240" w:lineRule="auto"/>
              <w:rPr>
                <w:rFonts w:ascii="Times New Roman" w:hAnsi="Times New Roman" w:eastAsia="Times New Roman"/>
              </w:rPr>
            </w:pPr>
            <w:r>
              <w:rPr>
                <w:rFonts w:hint="eastAsia" w:ascii="宋体" w:hAnsi="宋体" w:eastAsia="Times New Roman"/>
              </w:rPr>
              <w:t>本次评估距发生</w:t>
            </w:r>
            <w:r>
              <w:rPr>
                <w:rFonts w:hint="eastAsia" w:ascii="Times New Roman" w:hAnsi="Times New Roman" w:eastAsia="Times New Roman"/>
              </w:rPr>
              <w:t>HIV</w:t>
            </w:r>
            <w:r>
              <w:rPr>
                <w:rFonts w:hint="eastAsia" w:ascii="宋体" w:hAnsi="宋体" w:eastAsia="Times New Roman"/>
              </w:rPr>
              <w:t xml:space="preserve">暴露事件 </w:t>
            </w:r>
            <w:r>
              <w:rPr>
                <w:rFonts w:ascii="Times New Roman" w:hAnsi="Times New Roman" w:eastAsia="Times New Roman"/>
              </w:rPr>
              <w:t xml:space="preserve">    </w:t>
            </w:r>
            <w:r>
              <w:rPr>
                <w:rFonts w:hint="eastAsia" w:ascii="宋体" w:hAnsi="宋体" w:eastAsia="Times New Roman"/>
              </w:rPr>
              <w:t>小时</w:t>
            </w:r>
          </w:p>
        </w:tc>
      </w:tr>
      <w:tr w14:paraId="17481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60888AFD">
            <w:pPr>
              <w:adjustRightInd/>
              <w:spacing w:line="240" w:lineRule="auto"/>
              <w:rPr>
                <w:rFonts w:ascii="Times New Roman" w:hAnsi="Times New Roman" w:eastAsia="Times New Roman"/>
              </w:rPr>
            </w:pPr>
            <w:r>
              <w:rPr>
                <w:rFonts w:hint="eastAsia" w:ascii="宋体" w:hAnsi="宋体" w:eastAsia="Times New Roman"/>
              </w:rPr>
              <w:t>暴露事件发生时间距离现在时间</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□小于</w:t>
            </w:r>
            <w:r>
              <w:rPr>
                <w:rFonts w:hint="eastAsia" w:ascii="Times New Roman" w:hAnsi="Times New Roman" w:eastAsia="Times New Roman"/>
              </w:rPr>
              <w:t>72</w:t>
            </w:r>
            <w:r>
              <w:rPr>
                <w:rFonts w:hint="eastAsia" w:ascii="宋体" w:hAnsi="宋体" w:eastAsia="Times New Roman"/>
              </w:rPr>
              <w:t xml:space="preserve">小时 </w:t>
            </w:r>
            <w:r>
              <w:rPr>
                <w:rFonts w:ascii="Times New Roman" w:hAnsi="Times New Roman" w:eastAsia="Times New Roman"/>
              </w:rPr>
              <w:t xml:space="preserve">   </w:t>
            </w:r>
            <w:r>
              <w:rPr>
                <w:rFonts w:hint="eastAsia" w:ascii="宋体" w:hAnsi="宋体" w:eastAsia="Times New Roman"/>
              </w:rPr>
              <w:t>□大于</w:t>
            </w:r>
            <w:r>
              <w:rPr>
                <w:rFonts w:hint="eastAsia" w:ascii="Times New Roman" w:hAnsi="Times New Roman" w:eastAsia="Times New Roman"/>
              </w:rPr>
              <w:t>72</w:t>
            </w:r>
            <w:r>
              <w:rPr>
                <w:rFonts w:hint="eastAsia" w:ascii="宋体" w:hAnsi="宋体" w:eastAsia="Times New Roman"/>
              </w:rPr>
              <w:t xml:space="preserve">小时 </w:t>
            </w:r>
            <w:r>
              <w:rPr>
                <w:rFonts w:ascii="Times New Roman" w:hAnsi="Times New Roman" w:eastAsia="Times New Roman"/>
              </w:rPr>
              <w:t xml:space="preserve"> </w:t>
            </w:r>
          </w:p>
        </w:tc>
      </w:tr>
    </w:tbl>
    <w:p w14:paraId="1C13CC84">
      <w:pPr>
        <w:adjustRightInd/>
        <w:spacing w:line="240" w:lineRule="auto"/>
        <w:rPr>
          <w:rFonts w:ascii="Times New Roman" w:hAnsi="Times New Roman"/>
          <w:b/>
          <w:bCs/>
        </w:rPr>
      </w:pPr>
      <w:r>
        <w:rPr>
          <w:rFonts w:ascii="Times New Roman" w:hAnsi="Times New Roman"/>
          <w:b/>
          <w:bCs/>
        </w:rPr>
        <w:t xml:space="preserve"> </w:t>
      </w:r>
    </w:p>
    <w:p w14:paraId="460E6E5F">
      <w:pPr>
        <w:adjustRightInd/>
        <w:spacing w:line="240" w:lineRule="auto"/>
        <w:rPr>
          <w:rFonts w:ascii="Times New Roman" w:hAnsi="Times New Roman"/>
          <w:b/>
          <w:bCs/>
        </w:rPr>
      </w:pPr>
      <w:r>
        <w:rPr>
          <w:rFonts w:hint="eastAsia" w:ascii="Times New Roman" w:hAnsi="Times New Roman"/>
          <w:b/>
          <w:bCs/>
        </w:rPr>
        <w:t>3</w:t>
      </w:r>
      <w:r>
        <w:rPr>
          <w:rFonts w:hint="eastAsia" w:ascii="宋体" w:hAnsi="宋体"/>
          <w:b/>
          <w:bCs/>
        </w:rPr>
        <w:t>、</w:t>
      </w:r>
      <w:r>
        <w:rPr>
          <w:rFonts w:hint="eastAsia" w:ascii="Times New Roman" w:hAnsi="Times New Roman"/>
          <w:b/>
          <w:bCs/>
        </w:rPr>
        <w:t>HIV</w:t>
      </w:r>
      <w:r>
        <w:rPr>
          <w:rFonts w:hint="eastAsia" w:ascii="宋体" w:hAnsi="宋体"/>
          <w:b/>
          <w:bCs/>
        </w:rPr>
        <w:t>暴露风险评估</w:t>
      </w:r>
    </w:p>
    <w:tbl>
      <w:tblPr>
        <w:tblStyle w:val="2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13C6E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22660EB0">
            <w:pPr>
              <w:adjustRightInd/>
              <w:spacing w:line="240" w:lineRule="auto"/>
              <w:rPr>
                <w:rFonts w:ascii="Times New Roman" w:hAnsi="Times New Roman" w:eastAsia="Times New Roman"/>
              </w:rPr>
            </w:pPr>
            <w:r>
              <w:rPr>
                <w:rFonts w:hint="eastAsia" w:ascii="宋体" w:hAnsi="宋体" w:eastAsia="Times New Roman"/>
              </w:rPr>
              <w:t>高风险（具有下列情形之一）</w:t>
            </w:r>
          </w:p>
          <w:p w14:paraId="778D6DCB">
            <w:pPr>
              <w:widowControl/>
              <w:adjustRightInd/>
              <w:spacing w:line="240" w:lineRule="auto"/>
              <w:jc w:val="left"/>
              <w:rPr>
                <w:rFonts w:ascii="Times New Roman" w:hAnsi="Times New Roman" w:eastAsia="Times New Roman"/>
              </w:rPr>
            </w:pPr>
            <w:r>
              <w:rPr>
                <w:rFonts w:hint="eastAsia" w:ascii="宋体" w:hAnsi="宋体" w:eastAsia="Times New Roman"/>
              </w:rPr>
              <w:t>□（</w:t>
            </w:r>
            <w:r>
              <w:rPr>
                <w:rFonts w:ascii="Times New Roman" w:hAnsi="Times New Roman" w:eastAsia="Times New Roman"/>
              </w:rPr>
              <w:t>1</w:t>
            </w:r>
            <w:r>
              <w:rPr>
                <w:rFonts w:hint="eastAsia" w:ascii="宋体" w:hAnsi="宋体" w:eastAsia="Times New Roman"/>
              </w:rPr>
              <w:t>）性伴</w:t>
            </w:r>
            <w:r>
              <w:rPr>
                <w:rFonts w:hint="eastAsia" w:ascii="Times New Roman" w:hAnsi="Times New Roman" w:eastAsia="Times New Roman"/>
              </w:rPr>
              <w:t xml:space="preserve"> </w:t>
            </w:r>
            <w:r>
              <w:rPr>
                <w:rFonts w:ascii="Times New Roman" w:hAnsi="Times New Roman" w:eastAsia="Times New Roman"/>
              </w:rPr>
              <w:t xml:space="preserve">HIV </w:t>
            </w:r>
            <w:r>
              <w:rPr>
                <w:rFonts w:hint="eastAsia" w:ascii="宋体" w:hAnsi="宋体" w:eastAsia="Times New Roman"/>
              </w:rPr>
              <w:t>抗体检测阳性，未治疗或治疗状况不清，且未使用安全套或未全程正确使用安全套</w:t>
            </w:r>
          </w:p>
          <w:p w14:paraId="16C43214">
            <w:pPr>
              <w:widowControl/>
              <w:adjustRightInd/>
              <w:spacing w:line="240" w:lineRule="auto"/>
              <w:jc w:val="left"/>
              <w:rPr>
                <w:rFonts w:ascii="Times New Roman" w:hAnsi="Times New Roman" w:eastAsia="Times New Roman"/>
              </w:rPr>
            </w:pPr>
            <w:r>
              <w:rPr>
                <w:rFonts w:hint="eastAsia" w:ascii="宋体" w:hAnsi="宋体" w:eastAsia="Times New Roman"/>
              </w:rPr>
              <w:t>□（</w:t>
            </w:r>
            <w:r>
              <w:rPr>
                <w:rFonts w:ascii="Times New Roman" w:hAnsi="Times New Roman" w:eastAsia="Times New Roman"/>
              </w:rPr>
              <w:t>2</w:t>
            </w:r>
            <w:r>
              <w:rPr>
                <w:rFonts w:hint="eastAsia" w:ascii="宋体" w:hAnsi="宋体" w:eastAsia="Times New Roman"/>
              </w:rPr>
              <w:t>）性伴为非固定性伴，未检测</w:t>
            </w:r>
            <w:r>
              <w:rPr>
                <w:rFonts w:hint="eastAsia" w:ascii="Times New Roman" w:hAnsi="Times New Roman" w:eastAsia="Times New Roman"/>
              </w:rPr>
              <w:t xml:space="preserve"> </w:t>
            </w:r>
            <w:r>
              <w:rPr>
                <w:rFonts w:ascii="Times New Roman" w:hAnsi="Times New Roman" w:eastAsia="Times New Roman"/>
              </w:rPr>
              <w:t xml:space="preserve">HIV </w:t>
            </w:r>
            <w:r>
              <w:rPr>
                <w:rFonts w:hint="eastAsia" w:ascii="宋体" w:hAnsi="宋体" w:eastAsia="Times New Roman"/>
              </w:rPr>
              <w:t>或感染状况未知，且未使用安全套或未全程正确使用安全套</w:t>
            </w:r>
          </w:p>
          <w:p w14:paraId="5324C3A1">
            <w:pPr>
              <w:widowControl/>
              <w:adjustRightInd/>
              <w:spacing w:line="240" w:lineRule="auto"/>
              <w:jc w:val="left"/>
              <w:rPr>
                <w:rFonts w:ascii="Times New Roman" w:hAnsi="Times New Roman" w:eastAsia="Times New Roman"/>
              </w:rPr>
            </w:pPr>
            <w:r>
              <w:rPr>
                <w:rFonts w:hint="eastAsia" w:ascii="宋体" w:hAnsi="宋体" w:eastAsia="Times New Roman"/>
              </w:rPr>
              <w:t>□（</w:t>
            </w:r>
            <w:r>
              <w:rPr>
                <w:rFonts w:ascii="Times New Roman" w:hAnsi="Times New Roman" w:eastAsia="Times New Roman"/>
              </w:rPr>
              <w:t>3</w:t>
            </w:r>
            <w:r>
              <w:rPr>
                <w:rFonts w:hint="eastAsia" w:ascii="宋体" w:hAnsi="宋体" w:eastAsia="Times New Roman"/>
              </w:rPr>
              <w:t>）静脉注射吸毒且与他人共用针具</w:t>
            </w:r>
            <w:r>
              <w:rPr>
                <w:rFonts w:hint="eastAsia" w:ascii="Times New Roman" w:hAnsi="Times New Roman" w:eastAsia="Times New Roman"/>
              </w:rPr>
              <w:t xml:space="preserve"> </w:t>
            </w:r>
            <w:r>
              <w:rPr>
                <w:rFonts w:ascii="Times New Roman" w:hAnsi="Times New Roman" w:eastAsia="Times New Roman"/>
              </w:rPr>
              <w:t xml:space="preserve"> </w:t>
            </w:r>
          </w:p>
        </w:tc>
      </w:tr>
      <w:tr w14:paraId="19841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025913D8">
            <w:pPr>
              <w:adjustRightInd/>
              <w:spacing w:line="240" w:lineRule="auto"/>
              <w:rPr>
                <w:rFonts w:ascii="Times New Roman" w:hAnsi="Times New Roman" w:eastAsia="Times New Roman"/>
              </w:rPr>
            </w:pPr>
            <w:r>
              <w:rPr>
                <w:rFonts w:hint="eastAsia" w:ascii="宋体" w:hAnsi="宋体" w:eastAsia="Times New Roman"/>
              </w:rPr>
              <w:t>低风险（具有下列情形之一）</w:t>
            </w:r>
          </w:p>
          <w:p w14:paraId="7B7D9335">
            <w:pPr>
              <w:adjustRightInd/>
              <w:spacing w:line="240" w:lineRule="auto"/>
              <w:rPr>
                <w:rFonts w:ascii="Times New Roman" w:hAnsi="Times New Roman" w:eastAsia="Times New Roman"/>
              </w:rPr>
            </w:pPr>
            <w:r>
              <w:rPr>
                <w:rFonts w:hint="eastAsia" w:ascii="宋体" w:hAnsi="宋体" w:eastAsia="Times New Roman"/>
              </w:rPr>
              <w:t>□（</w:t>
            </w:r>
            <w:r>
              <w:rPr>
                <w:rFonts w:ascii="Times New Roman" w:hAnsi="Times New Roman" w:eastAsia="Times New Roman"/>
              </w:rPr>
              <w:t>1</w:t>
            </w:r>
            <w:r>
              <w:rPr>
                <w:rFonts w:hint="eastAsia" w:ascii="宋体" w:hAnsi="宋体" w:eastAsia="Times New Roman"/>
              </w:rPr>
              <w:t>）性伴</w:t>
            </w:r>
            <w:r>
              <w:rPr>
                <w:rFonts w:hint="eastAsia" w:ascii="Times New Roman" w:hAnsi="Times New Roman" w:eastAsia="Times New Roman"/>
              </w:rPr>
              <w:t xml:space="preserve"> </w:t>
            </w:r>
            <w:r>
              <w:rPr>
                <w:rFonts w:ascii="Times New Roman" w:hAnsi="Times New Roman" w:eastAsia="Times New Roman"/>
              </w:rPr>
              <w:t xml:space="preserve">HIV </w:t>
            </w:r>
            <w:r>
              <w:rPr>
                <w:rFonts w:hint="eastAsia" w:ascii="宋体" w:hAnsi="宋体" w:eastAsia="Times New Roman"/>
              </w:rPr>
              <w:t>抗体检测阴性，且排除窗口期</w:t>
            </w:r>
            <w:r>
              <w:rPr>
                <w:rFonts w:hint="eastAsia" w:ascii="Times New Roman" w:hAnsi="Times New Roman" w:eastAsia="Times New Roman"/>
              </w:rPr>
              <w:t xml:space="preserve"> </w:t>
            </w:r>
            <w:r>
              <w:rPr>
                <w:rFonts w:ascii="Times New Roman" w:hAnsi="Times New Roman" w:eastAsia="Times New Roman"/>
              </w:rPr>
              <w:t xml:space="preserve"> </w:t>
            </w:r>
          </w:p>
          <w:p w14:paraId="0AEB81C6">
            <w:pPr>
              <w:adjustRightInd/>
              <w:spacing w:line="240" w:lineRule="auto"/>
              <w:rPr>
                <w:rFonts w:ascii="Times New Roman" w:hAnsi="Times New Roman" w:eastAsia="Times New Roman"/>
              </w:rPr>
            </w:pPr>
            <w:r>
              <w:rPr>
                <w:rFonts w:hint="eastAsia" w:ascii="宋体" w:hAnsi="宋体" w:eastAsia="Times New Roman"/>
              </w:rPr>
              <w:t>□（</w:t>
            </w:r>
            <w:r>
              <w:rPr>
                <w:rFonts w:ascii="Times New Roman" w:hAnsi="Times New Roman" w:eastAsia="Times New Roman"/>
              </w:rPr>
              <w:t>2</w:t>
            </w:r>
            <w:r>
              <w:rPr>
                <w:rFonts w:hint="eastAsia" w:ascii="宋体" w:hAnsi="宋体" w:eastAsia="Times New Roman"/>
              </w:rPr>
              <w:t>）性伴</w:t>
            </w:r>
            <w:r>
              <w:rPr>
                <w:rFonts w:hint="eastAsia" w:ascii="Times New Roman" w:hAnsi="Times New Roman" w:eastAsia="Times New Roman"/>
              </w:rPr>
              <w:t xml:space="preserve"> </w:t>
            </w:r>
            <w:r>
              <w:rPr>
                <w:rFonts w:ascii="Times New Roman" w:hAnsi="Times New Roman" w:eastAsia="Times New Roman"/>
              </w:rPr>
              <w:t xml:space="preserve">HIV </w:t>
            </w:r>
            <w:r>
              <w:rPr>
                <w:rFonts w:hint="eastAsia" w:ascii="宋体" w:hAnsi="宋体" w:eastAsia="Times New Roman"/>
              </w:rPr>
              <w:t>抗体检测阳性，且已经治疗成功（病毒载量处于检测限之下）</w:t>
            </w:r>
            <w:r>
              <w:rPr>
                <w:rFonts w:hint="eastAsia" w:ascii="Times New Roman" w:hAnsi="Times New Roman" w:eastAsia="Times New Roman"/>
              </w:rPr>
              <w:t xml:space="preserve"> </w:t>
            </w:r>
          </w:p>
          <w:p w14:paraId="02BD8A61">
            <w:pPr>
              <w:adjustRightInd/>
              <w:spacing w:line="240" w:lineRule="auto"/>
              <w:rPr>
                <w:rFonts w:ascii="Times New Roman" w:hAnsi="Times New Roman" w:eastAsia="Times New Roman"/>
              </w:rPr>
            </w:pPr>
            <w:r>
              <w:rPr>
                <w:rFonts w:hint="eastAsia" w:ascii="宋体" w:hAnsi="宋体" w:eastAsia="Times New Roman"/>
              </w:rPr>
              <w:t>□（</w:t>
            </w:r>
            <w:r>
              <w:rPr>
                <w:rFonts w:ascii="Times New Roman" w:hAnsi="Times New Roman" w:eastAsia="Times New Roman"/>
              </w:rPr>
              <w:t>3</w:t>
            </w:r>
            <w:r>
              <w:rPr>
                <w:rFonts w:hint="eastAsia" w:ascii="宋体" w:hAnsi="宋体" w:eastAsia="Times New Roman"/>
              </w:rPr>
              <w:t>）当事双方没有发生体液交换</w:t>
            </w:r>
            <w:r>
              <w:rPr>
                <w:rFonts w:hint="eastAsia" w:ascii="Times New Roman" w:hAnsi="Times New Roman" w:eastAsia="Times New Roman"/>
              </w:rPr>
              <w:t xml:space="preserve"> </w:t>
            </w:r>
          </w:p>
          <w:p w14:paraId="66615E57">
            <w:pPr>
              <w:adjustRightInd/>
              <w:spacing w:line="240" w:lineRule="auto"/>
              <w:rPr>
                <w:rFonts w:ascii="Times New Roman" w:hAnsi="Times New Roman" w:eastAsia="Times New Roman"/>
              </w:rPr>
            </w:pPr>
            <w:r>
              <w:rPr>
                <w:rFonts w:hint="eastAsia" w:ascii="宋体" w:hAnsi="宋体" w:eastAsia="Times New Roman"/>
              </w:rPr>
              <w:t>□（</w:t>
            </w:r>
            <w:r>
              <w:rPr>
                <w:rFonts w:ascii="Times New Roman" w:hAnsi="Times New Roman" w:eastAsia="Times New Roman"/>
              </w:rPr>
              <w:t>4</w:t>
            </w:r>
            <w:r>
              <w:rPr>
                <w:rFonts w:hint="eastAsia" w:ascii="宋体" w:hAnsi="宋体" w:eastAsia="Times New Roman"/>
              </w:rPr>
              <w:t>）性接触时全程正确使用安全套</w:t>
            </w:r>
            <w:r>
              <w:rPr>
                <w:rFonts w:hint="eastAsia" w:ascii="Times New Roman" w:hAnsi="Times New Roman" w:eastAsia="Times New Roman"/>
              </w:rPr>
              <w:t xml:space="preserve"> </w:t>
            </w:r>
          </w:p>
        </w:tc>
      </w:tr>
      <w:tr w14:paraId="3EF43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5482E745">
            <w:pPr>
              <w:adjustRightInd/>
              <w:spacing w:line="240" w:lineRule="auto"/>
              <w:rPr>
                <w:rFonts w:ascii="Times New Roman" w:hAnsi="Times New Roman" w:eastAsia="Times New Roman"/>
                <w:u w:val="single"/>
              </w:rPr>
            </w:pPr>
            <w:r>
              <w:rPr>
                <w:rFonts w:hint="eastAsia" w:ascii="宋体" w:hAnsi="宋体" w:eastAsia="Times New Roman"/>
              </w:rPr>
              <w:t xml:space="preserve">□其他 </w:t>
            </w:r>
            <w:r>
              <w:rPr>
                <w:rFonts w:ascii="Times New Roman" w:hAnsi="Times New Roman" w:eastAsia="Times New Roman"/>
              </w:rPr>
              <w:t xml:space="preserve"> </w:t>
            </w:r>
            <w:r>
              <w:rPr>
                <w:rFonts w:hint="eastAsia" w:ascii="宋体" w:hAnsi="宋体" w:eastAsia="Times New Roman"/>
              </w:rPr>
              <w:t>请注明</w:t>
            </w:r>
            <w:r>
              <w:rPr>
                <w:rFonts w:ascii="Times New Roman" w:hAnsi="Times New Roman" w:eastAsia="Times New Roman"/>
                <w:u w:val="single"/>
              </w:rPr>
              <w:t xml:space="preserve">                   </w:t>
            </w:r>
          </w:p>
        </w:tc>
      </w:tr>
      <w:tr w14:paraId="4E3A2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34A34736">
            <w:pPr>
              <w:adjustRightInd/>
              <w:spacing w:line="240" w:lineRule="auto"/>
              <w:rPr>
                <w:rFonts w:ascii="Times New Roman" w:hAnsi="Times New Roman" w:eastAsia="Times New Roman"/>
              </w:rPr>
            </w:pPr>
            <w:r>
              <w:rPr>
                <w:rFonts w:hint="eastAsia" w:ascii="宋体" w:hAnsi="宋体" w:eastAsia="Times New Roman"/>
              </w:rPr>
              <w:t>暴露风险评估结果</w:t>
            </w:r>
          </w:p>
          <w:p w14:paraId="201C0134">
            <w:pPr>
              <w:adjustRightInd/>
              <w:spacing w:line="240" w:lineRule="auto"/>
              <w:rPr>
                <w:rFonts w:ascii="Times New Roman" w:hAnsi="Times New Roman" w:eastAsia="Times New Roman"/>
              </w:rPr>
            </w:pPr>
            <w:r>
              <w:rPr>
                <w:rFonts w:hint="eastAsia" w:ascii="宋体" w:hAnsi="宋体" w:eastAsia="Times New Roman"/>
              </w:rPr>
              <w:t xml:space="preserve">□高风险 </w:t>
            </w:r>
            <w:r>
              <w:rPr>
                <w:rFonts w:ascii="Times New Roman" w:hAnsi="Times New Roman" w:eastAsia="Times New Roman"/>
              </w:rPr>
              <w:t xml:space="preserve">       </w:t>
            </w:r>
            <w:r>
              <w:rPr>
                <w:rFonts w:hint="eastAsia" w:ascii="宋体" w:hAnsi="宋体" w:eastAsia="Times New Roman"/>
              </w:rPr>
              <w:t>□低风险</w:t>
            </w:r>
          </w:p>
        </w:tc>
      </w:tr>
    </w:tbl>
    <w:p w14:paraId="78EE38DE">
      <w:pPr>
        <w:adjustRightInd/>
        <w:spacing w:line="240" w:lineRule="auto"/>
        <w:rPr>
          <w:rFonts w:ascii="Times New Roman" w:hAnsi="Times New Roman"/>
        </w:rPr>
      </w:pPr>
      <w:r>
        <w:rPr>
          <w:rFonts w:ascii="Times New Roman" w:hAnsi="Times New Roman"/>
        </w:rPr>
        <w:t xml:space="preserve"> </w:t>
      </w:r>
    </w:p>
    <w:p w14:paraId="6C433F79">
      <w:pPr>
        <w:adjustRightInd/>
        <w:spacing w:line="240" w:lineRule="auto"/>
        <w:rPr>
          <w:rFonts w:ascii="Times New Roman" w:hAnsi="Times New Roman"/>
          <w:b/>
          <w:bCs/>
        </w:rPr>
      </w:pPr>
      <w:r>
        <w:rPr>
          <w:rFonts w:hint="eastAsia" w:ascii="Times New Roman" w:hAnsi="Times New Roman"/>
          <w:b/>
          <w:bCs/>
        </w:rPr>
        <w:t>4</w:t>
      </w:r>
      <w:r>
        <w:rPr>
          <w:rFonts w:hint="eastAsia" w:ascii="宋体" w:hAnsi="宋体"/>
          <w:b/>
          <w:bCs/>
        </w:rPr>
        <w:t>、</w:t>
      </w:r>
      <w:r>
        <w:rPr>
          <w:rFonts w:hint="eastAsia" w:ascii="Times New Roman" w:hAnsi="Times New Roman"/>
          <w:b/>
          <w:bCs/>
        </w:rPr>
        <w:t>HIV</w:t>
      </w:r>
      <w:r>
        <w:rPr>
          <w:rFonts w:hint="eastAsia" w:ascii="宋体" w:hAnsi="宋体"/>
          <w:b/>
          <w:bCs/>
        </w:rPr>
        <w:t>抗体检测</w:t>
      </w:r>
    </w:p>
    <w:tbl>
      <w:tblPr>
        <w:tblStyle w:val="2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36721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22B89165">
            <w:pPr>
              <w:adjustRightInd/>
              <w:spacing w:line="240" w:lineRule="auto"/>
              <w:rPr>
                <w:rFonts w:ascii="Times New Roman" w:hAnsi="Times New Roman" w:eastAsia="Times New Roman"/>
              </w:rPr>
            </w:pPr>
            <w:r>
              <w:rPr>
                <w:rFonts w:hint="eastAsia" w:ascii="宋体" w:hAnsi="宋体" w:eastAsia="Times New Roman"/>
              </w:rPr>
              <w:t>检测结果：</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 xml:space="preserve">□阴性 </w:t>
            </w:r>
            <w:r>
              <w:rPr>
                <w:rFonts w:ascii="Times New Roman" w:hAnsi="Times New Roman" w:eastAsia="Times New Roman"/>
              </w:rPr>
              <w:t xml:space="preserve"> </w:t>
            </w:r>
            <w:r>
              <w:rPr>
                <w:rFonts w:hint="eastAsia" w:ascii="宋体" w:hAnsi="宋体" w:eastAsia="Times New Roman"/>
              </w:rPr>
              <w:t xml:space="preserve">□初筛阳性 </w:t>
            </w:r>
            <w:r>
              <w:rPr>
                <w:rFonts w:ascii="Times New Roman" w:hAnsi="Times New Roman" w:eastAsia="Times New Roman"/>
              </w:rPr>
              <w:t xml:space="preserve">          </w:t>
            </w:r>
            <w:r>
              <w:rPr>
                <w:rFonts w:hint="eastAsia" w:ascii="宋体" w:hAnsi="宋体" w:eastAsia="Times New Roman"/>
              </w:rPr>
              <w:t xml:space="preserve">检测时间： </w:t>
            </w:r>
            <w:r>
              <w:rPr>
                <w:rFonts w:ascii="Times New Roman" w:hAnsi="Times New Roman" w:eastAsia="Times New Roman"/>
              </w:rPr>
              <w:t xml:space="preserve">   </w:t>
            </w:r>
            <w:r>
              <w:rPr>
                <w:rFonts w:hint="eastAsia" w:ascii="宋体" w:hAnsi="宋体" w:eastAsia="Times New Roman"/>
              </w:rPr>
              <w:t xml:space="preserve">年 </w:t>
            </w:r>
            <w:r>
              <w:rPr>
                <w:rFonts w:ascii="Times New Roman" w:hAnsi="Times New Roman" w:eastAsia="Times New Roman"/>
              </w:rPr>
              <w:t xml:space="preserve">   </w:t>
            </w:r>
            <w:r>
              <w:rPr>
                <w:rFonts w:hint="eastAsia" w:ascii="宋体" w:hAnsi="宋体" w:eastAsia="Times New Roman"/>
              </w:rPr>
              <w:t xml:space="preserve">月 </w:t>
            </w:r>
            <w:r>
              <w:rPr>
                <w:rFonts w:ascii="Times New Roman" w:hAnsi="Times New Roman" w:eastAsia="Times New Roman"/>
              </w:rPr>
              <w:t xml:space="preserve">   </w:t>
            </w:r>
            <w:r>
              <w:rPr>
                <w:rFonts w:hint="eastAsia" w:ascii="宋体" w:hAnsi="宋体" w:eastAsia="Times New Roman"/>
              </w:rPr>
              <w:t>日</w:t>
            </w:r>
          </w:p>
        </w:tc>
      </w:tr>
      <w:tr w14:paraId="1F344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61A13561">
            <w:pPr>
              <w:adjustRightInd/>
              <w:spacing w:line="240" w:lineRule="auto"/>
              <w:rPr>
                <w:rFonts w:ascii="Times New Roman" w:hAnsi="Times New Roman" w:eastAsia="Times New Roman"/>
              </w:rPr>
            </w:pPr>
            <w:r>
              <w:rPr>
                <w:rFonts w:hint="eastAsia" w:ascii="宋体" w:hAnsi="宋体" w:eastAsia="Times New Roman"/>
              </w:rPr>
              <w:t>检测方法：</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 xml:space="preserve">□快检 </w:t>
            </w:r>
            <w:r>
              <w:rPr>
                <w:rFonts w:ascii="Times New Roman" w:hAnsi="Times New Roman" w:eastAsia="Times New Roman"/>
              </w:rPr>
              <w:t xml:space="preserve"> </w:t>
            </w:r>
            <w:r>
              <w:rPr>
                <w:rFonts w:hint="eastAsia" w:ascii="宋体" w:hAnsi="宋体" w:eastAsia="Times New Roman"/>
              </w:rPr>
              <w:t>□</w:t>
            </w:r>
            <w:r>
              <w:rPr>
                <w:rFonts w:hint="eastAsia" w:ascii="Times New Roman" w:hAnsi="Times New Roman" w:eastAsia="Times New Roman"/>
              </w:rPr>
              <w:t xml:space="preserve">ELISA </w:t>
            </w:r>
            <w:r>
              <w:rPr>
                <w:rFonts w:ascii="Times New Roman" w:hAnsi="Times New Roman" w:eastAsia="Times New Roman"/>
              </w:rPr>
              <w:t xml:space="preserve">  </w:t>
            </w:r>
            <w:r>
              <w:rPr>
                <w:rFonts w:hint="eastAsia" w:ascii="宋体" w:hAnsi="宋体" w:eastAsia="Times New Roman"/>
              </w:rPr>
              <w:t>□其他</w:t>
            </w:r>
          </w:p>
        </w:tc>
      </w:tr>
    </w:tbl>
    <w:p w14:paraId="48D20F3D">
      <w:pPr>
        <w:adjustRightInd/>
        <w:spacing w:line="240" w:lineRule="auto"/>
        <w:rPr>
          <w:rFonts w:ascii="Times New Roman" w:hAnsi="Times New Roman"/>
        </w:rPr>
      </w:pPr>
      <w:r>
        <w:rPr>
          <w:rFonts w:ascii="Times New Roman" w:hAnsi="Times New Roman"/>
        </w:rPr>
        <w:t xml:space="preserve"> </w:t>
      </w:r>
    </w:p>
    <w:p w14:paraId="5352B67A">
      <w:pPr>
        <w:adjustRightInd/>
        <w:spacing w:line="240" w:lineRule="auto"/>
        <w:rPr>
          <w:rFonts w:ascii="Times New Roman" w:hAnsi="Times New Roman"/>
          <w:b/>
          <w:bCs/>
        </w:rPr>
      </w:pPr>
      <w:r>
        <w:rPr>
          <w:rFonts w:hint="eastAsia" w:ascii="Times New Roman" w:hAnsi="Times New Roman"/>
          <w:b/>
          <w:bCs/>
        </w:rPr>
        <w:t>5</w:t>
      </w:r>
      <w:r>
        <w:rPr>
          <w:rFonts w:hint="eastAsia" w:ascii="宋体" w:hAnsi="宋体"/>
          <w:b/>
          <w:bCs/>
        </w:rPr>
        <w:t>、暴露后用药适用性评估</w:t>
      </w:r>
    </w:p>
    <w:tbl>
      <w:tblPr>
        <w:tblStyle w:val="232"/>
        <w:tblW w:w="8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59"/>
      </w:tblGrid>
      <w:tr w14:paraId="186F9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single" w:color="auto" w:sz="4" w:space="0"/>
              <w:left w:val="single" w:color="auto" w:sz="4" w:space="0"/>
              <w:bottom w:val="nil"/>
              <w:right w:val="single" w:color="auto" w:sz="4" w:space="0"/>
            </w:tcBorders>
          </w:tcPr>
          <w:p w14:paraId="7D7A2BC3">
            <w:pPr>
              <w:adjustRightInd/>
              <w:spacing w:line="240" w:lineRule="auto"/>
              <w:rPr>
                <w:rFonts w:ascii="Times New Roman" w:hAnsi="Times New Roman" w:eastAsia="Times New Roman"/>
              </w:rPr>
            </w:pPr>
            <w:r>
              <w:rPr>
                <w:rFonts w:hint="eastAsia" w:ascii="宋体" w:hAnsi="宋体" w:eastAsia="Times New Roman"/>
              </w:rPr>
              <w:t>□（</w:t>
            </w:r>
            <w:r>
              <w:rPr>
                <w:rFonts w:ascii="Times New Roman" w:hAnsi="Times New Roman" w:eastAsia="Times New Roman"/>
              </w:rPr>
              <w:t>1</w:t>
            </w:r>
            <w:r>
              <w:rPr>
                <w:rFonts w:hint="eastAsia" w:ascii="宋体" w:hAnsi="宋体" w:eastAsia="Times New Roman"/>
              </w:rPr>
              <w:t>）年龄</w:t>
            </w:r>
            <w:r>
              <w:rPr>
                <w:rFonts w:hint="eastAsia" w:ascii="Times New Roman" w:hAnsi="Times New Roman" w:eastAsia="Times New Roman"/>
              </w:rPr>
              <w:t>18</w:t>
            </w:r>
            <w:r>
              <w:rPr>
                <w:rFonts w:hint="eastAsia" w:ascii="宋体" w:hAnsi="宋体" w:eastAsia="Times New Roman"/>
              </w:rPr>
              <w:t>周岁以上，不足</w:t>
            </w:r>
            <w:r>
              <w:rPr>
                <w:rFonts w:hint="eastAsia" w:ascii="Times New Roman" w:hAnsi="Times New Roman" w:eastAsia="Times New Roman"/>
              </w:rPr>
              <w:t>18</w:t>
            </w:r>
            <w:r>
              <w:rPr>
                <w:rFonts w:hint="eastAsia" w:ascii="宋体" w:hAnsi="宋体" w:eastAsia="Times New Roman"/>
              </w:rPr>
              <w:t>周岁需监护人同意（根据本表第</w:t>
            </w:r>
            <w:r>
              <w:rPr>
                <w:rFonts w:hint="eastAsia" w:ascii="Times New Roman" w:hAnsi="Times New Roman" w:eastAsia="Times New Roman"/>
              </w:rPr>
              <w:t>1</w:t>
            </w:r>
            <w:r>
              <w:rPr>
                <w:rFonts w:hint="eastAsia" w:ascii="宋体" w:hAnsi="宋体" w:eastAsia="Times New Roman"/>
              </w:rPr>
              <w:t>条）</w:t>
            </w:r>
          </w:p>
        </w:tc>
      </w:tr>
      <w:tr w14:paraId="38DD3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nil"/>
              <w:left w:val="single" w:color="auto" w:sz="4" w:space="0"/>
              <w:bottom w:val="nil"/>
              <w:right w:val="single" w:color="auto" w:sz="4" w:space="0"/>
            </w:tcBorders>
          </w:tcPr>
          <w:p w14:paraId="1C3B1724">
            <w:pPr>
              <w:adjustRightInd/>
              <w:spacing w:line="240" w:lineRule="auto"/>
              <w:rPr>
                <w:rFonts w:ascii="Times New Roman" w:hAnsi="Times New Roman" w:eastAsia="Times New Roman"/>
              </w:rPr>
            </w:pPr>
            <w:r>
              <w:rPr>
                <w:rFonts w:hint="eastAsia" w:ascii="宋体" w:hAnsi="宋体" w:eastAsia="Times New Roman"/>
              </w:rPr>
              <w:t>□（</w:t>
            </w:r>
            <w:r>
              <w:rPr>
                <w:rFonts w:ascii="Times New Roman" w:hAnsi="Times New Roman" w:eastAsia="Times New Roman"/>
              </w:rPr>
              <w:t>2</w:t>
            </w:r>
            <w:r>
              <w:rPr>
                <w:rFonts w:hint="eastAsia" w:ascii="宋体" w:hAnsi="宋体" w:eastAsia="Times New Roman"/>
              </w:rPr>
              <w:t>）暴露发生事件不超过</w:t>
            </w:r>
            <w:r>
              <w:rPr>
                <w:rFonts w:hint="eastAsia" w:ascii="Times New Roman" w:hAnsi="Times New Roman" w:eastAsia="Times New Roman"/>
              </w:rPr>
              <w:t>72</w:t>
            </w:r>
            <w:r>
              <w:rPr>
                <w:rFonts w:hint="eastAsia" w:ascii="宋体" w:hAnsi="宋体" w:eastAsia="Times New Roman"/>
              </w:rPr>
              <w:t>小时（参见本表第</w:t>
            </w:r>
            <w:r>
              <w:rPr>
                <w:rFonts w:hint="eastAsia" w:ascii="Times New Roman" w:hAnsi="Times New Roman" w:eastAsia="Times New Roman"/>
              </w:rPr>
              <w:t>2</w:t>
            </w:r>
            <w:r>
              <w:rPr>
                <w:rFonts w:hint="eastAsia" w:ascii="宋体" w:hAnsi="宋体" w:eastAsia="Times New Roman"/>
              </w:rPr>
              <w:t>条）</w:t>
            </w:r>
          </w:p>
        </w:tc>
      </w:tr>
      <w:tr w14:paraId="5E7B7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nil"/>
              <w:left w:val="single" w:color="auto" w:sz="4" w:space="0"/>
              <w:bottom w:val="nil"/>
              <w:right w:val="single" w:color="auto" w:sz="4" w:space="0"/>
            </w:tcBorders>
          </w:tcPr>
          <w:p w14:paraId="2664D1B6">
            <w:pPr>
              <w:adjustRightInd/>
              <w:spacing w:line="240" w:lineRule="auto"/>
              <w:rPr>
                <w:rFonts w:ascii="Times New Roman" w:hAnsi="Times New Roman" w:eastAsia="Times New Roman"/>
              </w:rPr>
            </w:pPr>
            <w:r>
              <w:rPr>
                <w:rFonts w:hint="eastAsia" w:ascii="宋体" w:hAnsi="宋体" w:eastAsia="Times New Roman"/>
              </w:rPr>
              <w:t>□（</w:t>
            </w:r>
            <w:r>
              <w:rPr>
                <w:rFonts w:ascii="Times New Roman" w:hAnsi="Times New Roman" w:eastAsia="Times New Roman"/>
              </w:rPr>
              <w:t>3</w:t>
            </w:r>
            <w:r>
              <w:rPr>
                <w:rFonts w:hint="eastAsia" w:ascii="宋体" w:hAnsi="宋体" w:eastAsia="Times New Roman"/>
              </w:rPr>
              <w:t>）暴露源及行为评估分析提示高风险（参见本表第</w:t>
            </w:r>
            <w:r>
              <w:rPr>
                <w:rFonts w:hint="eastAsia" w:ascii="Times New Roman" w:hAnsi="Times New Roman" w:eastAsia="Times New Roman"/>
              </w:rPr>
              <w:t>3</w:t>
            </w:r>
            <w:r>
              <w:rPr>
                <w:rFonts w:hint="eastAsia" w:ascii="宋体" w:hAnsi="宋体" w:eastAsia="Times New Roman"/>
              </w:rPr>
              <w:t>条）</w:t>
            </w:r>
          </w:p>
        </w:tc>
      </w:tr>
      <w:tr w14:paraId="7FF0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nil"/>
              <w:left w:val="single" w:color="auto" w:sz="4" w:space="0"/>
              <w:bottom w:val="nil"/>
              <w:right w:val="single" w:color="auto" w:sz="4" w:space="0"/>
            </w:tcBorders>
          </w:tcPr>
          <w:p w14:paraId="7B4B3548">
            <w:pPr>
              <w:adjustRightInd/>
              <w:spacing w:line="240" w:lineRule="auto"/>
              <w:rPr>
                <w:rFonts w:ascii="Times New Roman" w:hAnsi="Times New Roman" w:eastAsia="Times New Roman"/>
              </w:rPr>
            </w:pPr>
            <w:r>
              <w:rPr>
                <w:rFonts w:hint="eastAsia" w:ascii="宋体" w:hAnsi="宋体" w:eastAsia="Times New Roman"/>
              </w:rPr>
              <w:t>□（</w:t>
            </w:r>
            <w:r>
              <w:rPr>
                <w:rFonts w:ascii="Times New Roman" w:hAnsi="Times New Roman" w:eastAsia="Times New Roman"/>
              </w:rPr>
              <w:t>4</w:t>
            </w:r>
            <w:r>
              <w:rPr>
                <w:rFonts w:hint="eastAsia" w:ascii="宋体" w:hAnsi="宋体" w:eastAsia="Times New Roman"/>
              </w:rPr>
              <w:t>）</w:t>
            </w:r>
            <w:r>
              <w:rPr>
                <w:rFonts w:hint="eastAsia" w:ascii="Times New Roman" w:hAnsi="Times New Roman" w:eastAsia="Times New Roman"/>
              </w:rPr>
              <w:t>HIV</w:t>
            </w:r>
            <w:r>
              <w:rPr>
                <w:rFonts w:hint="eastAsia" w:ascii="宋体" w:hAnsi="宋体" w:eastAsia="Times New Roman"/>
              </w:rPr>
              <w:t>检测阴性（参见本表第</w:t>
            </w:r>
            <w:r>
              <w:rPr>
                <w:rFonts w:hint="eastAsia" w:ascii="Times New Roman" w:hAnsi="Times New Roman" w:eastAsia="Times New Roman"/>
              </w:rPr>
              <w:t>4</w:t>
            </w:r>
            <w:r>
              <w:rPr>
                <w:rFonts w:hint="eastAsia" w:ascii="宋体" w:hAnsi="宋体" w:eastAsia="Times New Roman"/>
              </w:rPr>
              <w:t>条）</w:t>
            </w:r>
          </w:p>
        </w:tc>
      </w:tr>
      <w:tr w14:paraId="466E6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nil"/>
              <w:left w:val="single" w:color="auto" w:sz="4" w:space="0"/>
              <w:bottom w:val="single" w:color="auto" w:sz="4" w:space="0"/>
              <w:right w:val="single" w:color="auto" w:sz="4" w:space="0"/>
            </w:tcBorders>
          </w:tcPr>
          <w:p w14:paraId="14001D46">
            <w:pPr>
              <w:adjustRightInd/>
              <w:spacing w:line="240" w:lineRule="auto"/>
              <w:rPr>
                <w:rFonts w:ascii="Times New Roman" w:hAnsi="Times New Roman" w:eastAsia="Times New Roman"/>
              </w:rPr>
            </w:pPr>
            <w:r>
              <w:rPr>
                <w:rFonts w:hint="eastAsia" w:ascii="宋体" w:hAnsi="宋体" w:eastAsia="Times New Roman"/>
              </w:rPr>
              <w:t>□（</w:t>
            </w:r>
            <w:r>
              <w:rPr>
                <w:rFonts w:hint="eastAsia" w:ascii="Times New Roman" w:hAnsi="Times New Roman" w:eastAsia="Times New Roman"/>
              </w:rPr>
              <w:t>5</w:t>
            </w:r>
            <w:r>
              <w:rPr>
                <w:rFonts w:hint="eastAsia" w:ascii="宋体" w:hAnsi="宋体" w:eastAsia="Times New Roman"/>
              </w:rPr>
              <w:t>）同意按时服药、保证依从性、按时参加随访检测</w:t>
            </w:r>
          </w:p>
        </w:tc>
      </w:tr>
      <w:tr w14:paraId="6255A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single" w:color="auto" w:sz="4" w:space="0"/>
              <w:left w:val="single" w:color="auto" w:sz="4" w:space="0"/>
              <w:bottom w:val="nil"/>
              <w:right w:val="single" w:color="auto" w:sz="4" w:space="0"/>
            </w:tcBorders>
          </w:tcPr>
          <w:p w14:paraId="50D7BE05">
            <w:pPr>
              <w:adjustRightInd/>
              <w:spacing w:line="240" w:lineRule="auto"/>
              <w:rPr>
                <w:rFonts w:ascii="Times New Roman" w:hAnsi="Times New Roman" w:eastAsia="Times New Roman"/>
              </w:rPr>
            </w:pPr>
            <w:r>
              <w:rPr>
                <w:rFonts w:hint="eastAsia" w:ascii="宋体" w:hAnsi="宋体" w:eastAsia="Times New Roman"/>
              </w:rPr>
              <w:t>适用性评估结果：</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 xml:space="preserve">□适用 </w:t>
            </w:r>
            <w:r>
              <w:rPr>
                <w:rFonts w:ascii="Times New Roman" w:hAnsi="Times New Roman" w:eastAsia="Times New Roman"/>
              </w:rPr>
              <w:t xml:space="preserve">         </w:t>
            </w:r>
            <w:r>
              <w:rPr>
                <w:rFonts w:hint="eastAsia" w:ascii="宋体" w:hAnsi="宋体" w:eastAsia="Times New Roman"/>
              </w:rPr>
              <w:t>□不适用</w:t>
            </w:r>
          </w:p>
        </w:tc>
      </w:tr>
      <w:tr w14:paraId="54C8F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single" w:color="auto" w:sz="4" w:space="0"/>
              <w:left w:val="single" w:color="auto" w:sz="4" w:space="0"/>
              <w:bottom w:val="single" w:color="auto" w:sz="4" w:space="0"/>
              <w:right w:val="single" w:color="auto" w:sz="4" w:space="0"/>
            </w:tcBorders>
          </w:tcPr>
          <w:p w14:paraId="02122C01">
            <w:pPr>
              <w:adjustRightInd/>
              <w:spacing w:line="240" w:lineRule="auto"/>
              <w:rPr>
                <w:rFonts w:ascii="Times New Roman" w:hAnsi="Times New Roman" w:eastAsia="Times New Roman"/>
              </w:rPr>
            </w:pPr>
            <w:r>
              <w:rPr>
                <w:rFonts w:hint="eastAsia" w:ascii="宋体" w:hAnsi="宋体" w:eastAsia="Times New Roman"/>
              </w:rPr>
              <w:t>（注：以上所有选项均符合，适用</w:t>
            </w:r>
            <w:r>
              <w:rPr>
                <w:rFonts w:hint="eastAsia" w:ascii="Times New Roman" w:hAnsi="Times New Roman" w:eastAsia="Times New Roman"/>
              </w:rPr>
              <w:t>PEP</w:t>
            </w:r>
            <w:r>
              <w:rPr>
                <w:rFonts w:hint="eastAsia" w:ascii="宋体" w:hAnsi="宋体" w:eastAsia="Times New Roman"/>
              </w:rPr>
              <w:t>。否则不适用。）</w:t>
            </w:r>
          </w:p>
        </w:tc>
      </w:tr>
    </w:tbl>
    <w:p w14:paraId="4158128C">
      <w:pPr>
        <w:adjustRightInd/>
        <w:spacing w:line="240" w:lineRule="auto"/>
        <w:rPr>
          <w:rFonts w:ascii="Times New Roman" w:hAnsi="Times New Roman"/>
        </w:rPr>
      </w:pPr>
      <w:r>
        <w:rPr>
          <w:rFonts w:ascii="Times New Roman" w:hAnsi="Times New Roman"/>
        </w:rPr>
        <w:t xml:space="preserve"> </w:t>
      </w:r>
    </w:p>
    <w:p w14:paraId="71CF2799">
      <w:pPr>
        <w:adjustRightInd/>
        <w:spacing w:line="240" w:lineRule="auto"/>
        <w:rPr>
          <w:rFonts w:ascii="Times New Roman" w:hAnsi="Times New Roman"/>
        </w:rPr>
      </w:pPr>
      <w:r>
        <w:rPr>
          <w:rFonts w:ascii="Times New Roman" w:hAnsi="Times New Roman"/>
        </w:rPr>
        <w:t xml:space="preserve"> </w:t>
      </w:r>
    </w:p>
    <w:p w14:paraId="0EE5A354">
      <w:pPr>
        <w:adjustRightInd/>
        <w:spacing w:line="240" w:lineRule="auto"/>
        <w:rPr>
          <w:rFonts w:ascii="Times New Roman" w:hAnsi="Times New Roman"/>
          <w:b/>
          <w:bCs/>
        </w:rPr>
      </w:pPr>
      <w:r>
        <w:rPr>
          <w:rFonts w:hint="eastAsia" w:ascii="Times New Roman" w:hAnsi="Times New Roman"/>
          <w:b/>
          <w:bCs/>
        </w:rPr>
        <w:t>6</w:t>
      </w:r>
      <w:r>
        <w:rPr>
          <w:rFonts w:hint="eastAsia" w:ascii="宋体" w:hAnsi="宋体"/>
          <w:b/>
          <w:bCs/>
        </w:rPr>
        <w:t>、用药</w:t>
      </w:r>
    </w:p>
    <w:tbl>
      <w:tblPr>
        <w:tblStyle w:val="2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4257B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1FF0F1D1">
            <w:pPr>
              <w:adjustRightInd/>
              <w:spacing w:line="240" w:lineRule="auto"/>
              <w:rPr>
                <w:rFonts w:ascii="Times New Roman" w:hAnsi="Times New Roman" w:eastAsia="Times New Roman"/>
              </w:rPr>
            </w:pPr>
            <w:r>
              <w:rPr>
                <w:rFonts w:hint="eastAsia" w:ascii="宋体" w:hAnsi="宋体" w:eastAsia="Times New Roman"/>
              </w:rPr>
              <w:t>求询者是否同意用药</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 xml:space="preserve">□同意 </w:t>
            </w:r>
            <w:r>
              <w:rPr>
                <w:rFonts w:ascii="Times New Roman" w:hAnsi="Times New Roman" w:eastAsia="Times New Roman"/>
              </w:rPr>
              <w:t xml:space="preserve">       </w:t>
            </w:r>
            <w:r>
              <w:rPr>
                <w:rFonts w:hint="eastAsia" w:ascii="宋体" w:hAnsi="宋体" w:eastAsia="Times New Roman"/>
              </w:rPr>
              <w:t>□不同意</w:t>
            </w:r>
          </w:p>
        </w:tc>
      </w:tr>
      <w:tr w14:paraId="78E4F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6C010A25">
            <w:pPr>
              <w:adjustRightInd/>
              <w:spacing w:line="240" w:lineRule="auto"/>
              <w:rPr>
                <w:rFonts w:ascii="Times New Roman" w:hAnsi="Times New Roman" w:eastAsia="Times New Roman"/>
              </w:rPr>
            </w:pPr>
            <w:r>
              <w:rPr>
                <w:rFonts w:hint="eastAsia" w:ascii="宋体" w:hAnsi="宋体" w:eastAsia="Times New Roman"/>
              </w:rPr>
              <w:t>首次服药时间：</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年</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月</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日</w:t>
            </w:r>
          </w:p>
        </w:tc>
      </w:tr>
      <w:tr w14:paraId="583AE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5A7844BE">
            <w:pPr>
              <w:adjustRightInd/>
              <w:spacing w:line="240" w:lineRule="auto"/>
              <w:rPr>
                <w:rFonts w:ascii="Times New Roman" w:hAnsi="Times New Roman" w:eastAsia="Times New Roman"/>
              </w:rPr>
            </w:pPr>
            <w:r>
              <w:rPr>
                <w:rFonts w:hint="eastAsia" w:ascii="宋体" w:hAnsi="宋体" w:eastAsia="Times New Roman"/>
              </w:rPr>
              <w:t>服药方案：</w:t>
            </w:r>
            <w:r>
              <w:rPr>
                <w:rFonts w:hint="eastAsia" w:ascii="Times New Roman" w:hAnsi="Times New Roman" w:eastAsia="Times New Roman"/>
              </w:rPr>
              <w:t xml:space="preserve"> </w:t>
            </w:r>
            <w:r>
              <w:rPr>
                <w:rFonts w:hint="eastAsia" w:ascii="宋体" w:hAnsi="宋体" w:eastAsia="Times New Roman"/>
                <w:b/>
                <w:bCs/>
              </w:rPr>
              <w:t>□</w:t>
            </w:r>
            <w:r>
              <w:rPr>
                <w:rFonts w:hint="eastAsia" w:ascii="Times New Roman" w:hAnsi="Times New Roman" w:eastAsia="Times New Roman"/>
              </w:rPr>
              <w:t xml:space="preserve">TDF/FTC+RAL </w:t>
            </w:r>
            <w:r>
              <w:rPr>
                <w:rFonts w:ascii="Times New Roman" w:hAnsi="Times New Roman" w:eastAsia="Times New Roman"/>
              </w:rPr>
              <w:t xml:space="preserve">    </w:t>
            </w:r>
            <w:r>
              <w:rPr>
                <w:rFonts w:hint="eastAsia" w:ascii="宋体" w:hAnsi="宋体" w:eastAsia="Times New Roman"/>
                <w:b/>
                <w:bCs/>
              </w:rPr>
              <w:t>□</w:t>
            </w:r>
            <w:r>
              <w:rPr>
                <w:rFonts w:hint="eastAsia" w:ascii="Times New Roman" w:hAnsi="Times New Roman" w:eastAsia="Times New Roman"/>
              </w:rPr>
              <w:t xml:space="preserve">TDF/FTC+DTG </w:t>
            </w:r>
            <w:r>
              <w:rPr>
                <w:rFonts w:ascii="Times New Roman" w:hAnsi="Times New Roman" w:eastAsia="Times New Roman"/>
              </w:rPr>
              <w:t xml:space="preserve"> </w:t>
            </w:r>
          </w:p>
          <w:p w14:paraId="5EB718B4">
            <w:pPr>
              <w:adjustRightInd/>
              <w:spacing w:line="240" w:lineRule="auto"/>
              <w:ind w:firstLine="1050" w:firstLineChars="500"/>
              <w:rPr>
                <w:rFonts w:ascii="Times New Roman" w:hAnsi="Times New Roman" w:eastAsia="Times New Roman"/>
              </w:rPr>
            </w:pPr>
            <w:r>
              <w:rPr>
                <w:rFonts w:ascii="Times New Roman" w:hAnsi="Times New Roman" w:eastAsia="Times New Roman"/>
              </w:rPr>
              <w:t xml:space="preserve"> </w:t>
            </w:r>
            <w:r>
              <w:rPr>
                <w:rFonts w:hint="eastAsia" w:ascii="宋体" w:hAnsi="宋体" w:eastAsia="Times New Roman"/>
                <w:b/>
                <w:bCs/>
              </w:rPr>
              <w:t>□</w:t>
            </w:r>
            <w:r>
              <w:rPr>
                <w:rFonts w:hint="eastAsia" w:ascii="Times New Roman" w:hAnsi="Times New Roman" w:eastAsia="Times New Roman"/>
              </w:rPr>
              <w:t xml:space="preserve">BIC/FTC/TAF </w:t>
            </w:r>
            <w:r>
              <w:rPr>
                <w:rFonts w:ascii="Times New Roman" w:hAnsi="Times New Roman" w:eastAsia="Times New Roman"/>
              </w:rPr>
              <w:t xml:space="preserve">      </w:t>
            </w:r>
            <w:r>
              <w:rPr>
                <w:rFonts w:hint="eastAsia" w:ascii="宋体" w:hAnsi="宋体" w:eastAsia="Times New Roman"/>
                <w:b/>
                <w:bCs/>
              </w:rPr>
              <w:t>□</w:t>
            </w:r>
            <w:r>
              <w:rPr>
                <w:rFonts w:hint="eastAsia" w:ascii="宋体" w:hAnsi="宋体" w:eastAsia="Times New Roman"/>
              </w:rPr>
              <w:t>其他请注明</w:t>
            </w:r>
          </w:p>
        </w:tc>
      </w:tr>
    </w:tbl>
    <w:p w14:paraId="46725586">
      <w:pPr>
        <w:adjustRightInd/>
        <w:spacing w:line="240" w:lineRule="auto"/>
        <w:rPr>
          <w:rFonts w:ascii="Times New Roman" w:hAnsi="Times New Roman"/>
        </w:rPr>
      </w:pPr>
      <w:r>
        <w:rPr>
          <w:rFonts w:ascii="Times New Roman" w:hAnsi="Times New Roman"/>
        </w:rPr>
        <w:t xml:space="preserve"> </w:t>
      </w:r>
    </w:p>
    <w:p w14:paraId="3D97C66B">
      <w:pPr>
        <w:adjustRightInd/>
        <w:spacing w:line="240" w:lineRule="auto"/>
        <w:rPr>
          <w:rFonts w:ascii="Times New Roman" w:hAnsi="Times New Roman"/>
          <w:b/>
          <w:bCs/>
        </w:rPr>
      </w:pPr>
      <w:r>
        <w:rPr>
          <w:rFonts w:hint="eastAsia" w:ascii="Times New Roman" w:hAnsi="Times New Roman"/>
          <w:b/>
          <w:bCs/>
        </w:rPr>
        <w:t>7</w:t>
      </w:r>
      <w:r>
        <w:rPr>
          <w:rFonts w:hint="eastAsia" w:ascii="宋体" w:hAnsi="宋体"/>
          <w:b/>
          <w:bCs/>
        </w:rPr>
        <w:t>、随访</w:t>
      </w:r>
    </w:p>
    <w:tbl>
      <w:tblPr>
        <w:tblStyle w:val="232"/>
        <w:tblW w:w="8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59"/>
      </w:tblGrid>
      <w:tr w14:paraId="33AF1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single" w:color="auto" w:sz="4" w:space="0"/>
              <w:left w:val="single" w:color="auto" w:sz="4" w:space="0"/>
              <w:bottom w:val="nil"/>
              <w:right w:val="single" w:color="auto" w:sz="4" w:space="0"/>
            </w:tcBorders>
          </w:tcPr>
          <w:p w14:paraId="664447B8">
            <w:pPr>
              <w:adjustRightInd/>
              <w:spacing w:line="240" w:lineRule="auto"/>
              <w:rPr>
                <w:rFonts w:ascii="Times New Roman" w:hAnsi="Times New Roman" w:eastAsia="Times New Roman"/>
              </w:rPr>
            </w:pPr>
            <w:r>
              <w:rPr>
                <w:rFonts w:hint="eastAsia" w:ascii="Times New Roman" w:hAnsi="Times New Roman" w:eastAsia="Times New Roman"/>
                <w:b/>
                <w:bCs/>
              </w:rPr>
              <w:t>2</w:t>
            </w:r>
            <w:r>
              <w:rPr>
                <w:rFonts w:hint="eastAsia" w:ascii="宋体" w:hAnsi="宋体" w:eastAsia="Times New Roman"/>
                <w:b/>
                <w:bCs/>
              </w:rPr>
              <w:t xml:space="preserve">周随访： </w:t>
            </w:r>
            <w:r>
              <w:rPr>
                <w:rFonts w:hint="eastAsia" w:ascii="宋体" w:hAnsi="宋体" w:eastAsia="Times New Roman"/>
              </w:rPr>
              <w:t>日期：</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年</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月</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日</w:t>
            </w:r>
          </w:p>
        </w:tc>
      </w:tr>
      <w:tr w14:paraId="65C2A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nil"/>
              <w:left w:val="single" w:color="auto" w:sz="4" w:space="0"/>
              <w:bottom w:val="nil"/>
              <w:right w:val="single" w:color="auto" w:sz="4" w:space="0"/>
            </w:tcBorders>
          </w:tcPr>
          <w:p w14:paraId="04472C12">
            <w:pPr>
              <w:adjustRightInd/>
              <w:spacing w:line="240" w:lineRule="auto"/>
              <w:ind w:firstLine="1050" w:firstLineChars="500"/>
              <w:rPr>
                <w:rFonts w:ascii="Times New Roman" w:hAnsi="Times New Roman" w:eastAsia="Times New Roman"/>
              </w:rPr>
            </w:pPr>
            <w:r>
              <w:rPr>
                <w:rFonts w:hint="eastAsia" w:ascii="宋体" w:hAnsi="宋体" w:eastAsia="Times New Roman"/>
              </w:rPr>
              <w:t>是否有明显副作用</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 xml:space="preserve">□有 </w:t>
            </w:r>
            <w:r>
              <w:rPr>
                <w:rFonts w:ascii="Times New Roman" w:hAnsi="Times New Roman" w:eastAsia="Times New Roman"/>
              </w:rPr>
              <w:t xml:space="preserve">       </w:t>
            </w:r>
            <w:r>
              <w:rPr>
                <w:rFonts w:hint="eastAsia" w:ascii="宋体" w:hAnsi="宋体" w:eastAsia="Times New Roman"/>
              </w:rPr>
              <w:t xml:space="preserve">□无 </w:t>
            </w:r>
            <w:r>
              <w:rPr>
                <w:rFonts w:ascii="Times New Roman" w:hAnsi="Times New Roman" w:eastAsia="Times New Roman"/>
              </w:rPr>
              <w:t xml:space="preserve">      </w:t>
            </w:r>
            <w:r>
              <w:rPr>
                <w:rFonts w:hint="eastAsia" w:ascii="宋体" w:hAnsi="宋体" w:eastAsia="Times New Roman"/>
              </w:rPr>
              <w:t>□失访</w:t>
            </w:r>
          </w:p>
        </w:tc>
      </w:tr>
      <w:tr w14:paraId="35124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nil"/>
              <w:left w:val="single" w:color="auto" w:sz="4" w:space="0"/>
              <w:bottom w:val="single" w:color="auto" w:sz="4" w:space="0"/>
              <w:right w:val="single" w:color="auto" w:sz="4" w:space="0"/>
            </w:tcBorders>
          </w:tcPr>
          <w:p w14:paraId="68F2CF27">
            <w:pPr>
              <w:adjustRightInd/>
              <w:spacing w:line="240" w:lineRule="auto"/>
              <w:rPr>
                <w:rFonts w:ascii="Times New Roman" w:hAnsi="Times New Roman" w:eastAsia="Times New Roman"/>
              </w:rPr>
            </w:pPr>
            <w:r>
              <w:rPr>
                <w:rFonts w:hint="eastAsia" w:ascii="宋体" w:hAnsi="宋体" w:eastAsia="Times New Roman"/>
              </w:rPr>
              <w:t>备注：</w:t>
            </w:r>
          </w:p>
        </w:tc>
      </w:tr>
    </w:tbl>
    <w:p w14:paraId="0E05462B">
      <w:pPr>
        <w:adjustRightInd/>
        <w:spacing w:line="240" w:lineRule="auto"/>
        <w:rPr>
          <w:rFonts w:ascii="Times New Roman" w:hAnsi="Times New Roman"/>
        </w:rPr>
      </w:pPr>
      <w:r>
        <w:rPr>
          <w:rFonts w:ascii="Times New Roman" w:hAnsi="Times New Roman"/>
        </w:rPr>
        <w:t xml:space="preserve"> </w:t>
      </w:r>
    </w:p>
    <w:p w14:paraId="58421AF8">
      <w:pPr>
        <w:adjustRightInd/>
        <w:spacing w:line="240" w:lineRule="auto"/>
        <w:rPr>
          <w:rFonts w:ascii="Times New Roman" w:hAnsi="Times New Roman"/>
        </w:rPr>
      </w:pPr>
      <w:r>
        <w:rPr>
          <w:rFonts w:ascii="Times New Roman" w:hAnsi="Times New Roman"/>
        </w:rPr>
        <w:t xml:space="preserve"> </w:t>
      </w:r>
    </w:p>
    <w:tbl>
      <w:tblPr>
        <w:tblStyle w:val="232"/>
        <w:tblW w:w="8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59"/>
      </w:tblGrid>
      <w:tr w14:paraId="6FBBF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single" w:color="auto" w:sz="4" w:space="0"/>
              <w:left w:val="single" w:color="auto" w:sz="4" w:space="0"/>
              <w:bottom w:val="single" w:color="auto" w:sz="4" w:space="0"/>
              <w:right w:val="single" w:color="auto" w:sz="4" w:space="0"/>
            </w:tcBorders>
          </w:tcPr>
          <w:p w14:paraId="3FAEBED4">
            <w:pPr>
              <w:adjustRightInd/>
              <w:spacing w:line="240" w:lineRule="auto"/>
              <w:rPr>
                <w:rFonts w:ascii="Times New Roman" w:hAnsi="Times New Roman" w:eastAsia="Times New Roman"/>
              </w:rPr>
            </w:pPr>
            <w:r>
              <w:rPr>
                <w:rFonts w:hint="eastAsia" w:ascii="Times New Roman" w:hAnsi="Times New Roman" w:eastAsia="Times New Roman"/>
                <w:b/>
                <w:bCs/>
              </w:rPr>
              <w:t>30</w:t>
            </w:r>
            <w:r>
              <w:rPr>
                <w:rFonts w:hint="eastAsia" w:ascii="宋体" w:hAnsi="宋体" w:eastAsia="Times New Roman"/>
                <w:b/>
                <w:bCs/>
              </w:rPr>
              <w:t>天随访：</w:t>
            </w:r>
            <w:r>
              <w:rPr>
                <w:rFonts w:hint="eastAsia" w:ascii="宋体" w:hAnsi="宋体" w:eastAsia="Times New Roman"/>
              </w:rPr>
              <w:t>日期：</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年</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月</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日</w:t>
            </w:r>
          </w:p>
        </w:tc>
      </w:tr>
      <w:tr w14:paraId="465BD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single" w:color="auto" w:sz="4" w:space="0"/>
              <w:left w:val="single" w:color="auto" w:sz="4" w:space="0"/>
              <w:bottom w:val="nil"/>
              <w:right w:val="single" w:color="auto" w:sz="4" w:space="0"/>
            </w:tcBorders>
          </w:tcPr>
          <w:p w14:paraId="39BE7EA9">
            <w:pPr>
              <w:adjustRightInd/>
              <w:spacing w:line="240" w:lineRule="auto"/>
              <w:ind w:firstLine="1050" w:firstLineChars="500"/>
              <w:rPr>
                <w:rFonts w:ascii="Times New Roman" w:hAnsi="Times New Roman" w:eastAsia="Times New Roman"/>
              </w:rPr>
            </w:pPr>
            <w:r>
              <w:rPr>
                <w:rFonts w:hint="eastAsia" w:ascii="宋体" w:hAnsi="宋体" w:eastAsia="Times New Roman"/>
              </w:rPr>
              <w:t>是否有明显副作用</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 xml:space="preserve">□有 </w:t>
            </w:r>
            <w:r>
              <w:rPr>
                <w:rFonts w:ascii="Times New Roman" w:hAnsi="Times New Roman" w:eastAsia="Times New Roman"/>
              </w:rPr>
              <w:t xml:space="preserve">       </w:t>
            </w:r>
            <w:r>
              <w:rPr>
                <w:rFonts w:hint="eastAsia" w:ascii="宋体" w:hAnsi="宋体" w:eastAsia="Times New Roman"/>
              </w:rPr>
              <w:t xml:space="preserve">□无 </w:t>
            </w:r>
            <w:r>
              <w:rPr>
                <w:rFonts w:ascii="Times New Roman" w:hAnsi="Times New Roman" w:eastAsia="Times New Roman"/>
              </w:rPr>
              <w:t xml:space="preserve">      </w:t>
            </w:r>
            <w:r>
              <w:rPr>
                <w:rFonts w:hint="eastAsia" w:ascii="宋体" w:hAnsi="宋体" w:eastAsia="Times New Roman"/>
              </w:rPr>
              <w:t>□失访</w:t>
            </w:r>
          </w:p>
        </w:tc>
      </w:tr>
      <w:tr w14:paraId="5730E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nil"/>
              <w:left w:val="single" w:color="auto" w:sz="4" w:space="0"/>
              <w:bottom w:val="single" w:color="auto" w:sz="4" w:space="0"/>
              <w:right w:val="single" w:color="auto" w:sz="4" w:space="0"/>
            </w:tcBorders>
          </w:tcPr>
          <w:p w14:paraId="46197457">
            <w:pPr>
              <w:adjustRightInd/>
              <w:spacing w:line="240" w:lineRule="auto"/>
              <w:ind w:firstLine="1050" w:firstLineChars="500"/>
              <w:rPr>
                <w:rFonts w:ascii="Times New Roman" w:hAnsi="Times New Roman" w:eastAsia="Times New Roman"/>
              </w:rPr>
            </w:pPr>
            <w:r>
              <w:rPr>
                <w:rFonts w:hint="eastAsia" w:ascii="Times New Roman" w:hAnsi="Times New Roman" w:eastAsia="Times New Roman"/>
              </w:rPr>
              <w:t>HIV</w:t>
            </w:r>
            <w:r>
              <w:rPr>
                <w:rFonts w:hint="eastAsia" w:ascii="宋体" w:hAnsi="宋体" w:eastAsia="Times New Roman"/>
              </w:rPr>
              <w:t xml:space="preserve">抗体检测结果： </w:t>
            </w:r>
            <w:r>
              <w:rPr>
                <w:rFonts w:ascii="Times New Roman" w:hAnsi="Times New Roman" w:eastAsia="Times New Roman"/>
              </w:rPr>
              <w:t xml:space="preserve"> </w:t>
            </w:r>
            <w:r>
              <w:rPr>
                <w:rFonts w:hint="eastAsia" w:ascii="宋体" w:hAnsi="宋体" w:eastAsia="Times New Roman"/>
              </w:rPr>
              <w:t xml:space="preserve">□阴性 </w:t>
            </w:r>
            <w:r>
              <w:rPr>
                <w:rFonts w:ascii="Times New Roman" w:hAnsi="Times New Roman" w:eastAsia="Times New Roman"/>
              </w:rPr>
              <w:t xml:space="preserve">     </w:t>
            </w:r>
            <w:r>
              <w:rPr>
                <w:rFonts w:hint="eastAsia" w:ascii="宋体" w:hAnsi="宋体" w:eastAsia="Times New Roman"/>
              </w:rPr>
              <w:t>□初筛阳性</w:t>
            </w:r>
          </w:p>
        </w:tc>
      </w:tr>
      <w:tr w14:paraId="1F5C0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nil"/>
              <w:left w:val="single" w:color="auto" w:sz="4" w:space="0"/>
              <w:bottom w:val="single" w:color="auto" w:sz="4" w:space="0"/>
              <w:right w:val="single" w:color="auto" w:sz="4" w:space="0"/>
            </w:tcBorders>
          </w:tcPr>
          <w:p w14:paraId="7DE54446">
            <w:pPr>
              <w:adjustRightInd/>
              <w:spacing w:line="240" w:lineRule="auto"/>
              <w:rPr>
                <w:rFonts w:ascii="Times New Roman" w:hAnsi="Times New Roman" w:eastAsia="Times New Roman"/>
              </w:rPr>
            </w:pPr>
            <w:r>
              <w:rPr>
                <w:rFonts w:hint="eastAsia" w:ascii="宋体" w:hAnsi="宋体" w:eastAsia="Times New Roman"/>
              </w:rPr>
              <w:t>其他检验结果附后：</w:t>
            </w:r>
          </w:p>
        </w:tc>
      </w:tr>
      <w:tr w14:paraId="73C70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nil"/>
              <w:left w:val="single" w:color="auto" w:sz="4" w:space="0"/>
              <w:bottom w:val="single" w:color="auto" w:sz="4" w:space="0"/>
              <w:right w:val="single" w:color="auto" w:sz="4" w:space="0"/>
            </w:tcBorders>
          </w:tcPr>
          <w:p w14:paraId="3678AD99">
            <w:pPr>
              <w:adjustRightInd/>
              <w:spacing w:line="240" w:lineRule="auto"/>
              <w:rPr>
                <w:rFonts w:ascii="Times New Roman" w:hAnsi="Times New Roman" w:eastAsia="Times New Roman"/>
              </w:rPr>
            </w:pPr>
            <w:r>
              <w:rPr>
                <w:rFonts w:hint="eastAsia" w:ascii="宋体" w:hAnsi="宋体" w:eastAsia="Times New Roman"/>
              </w:rPr>
              <w:t>备注：</w:t>
            </w:r>
          </w:p>
        </w:tc>
      </w:tr>
    </w:tbl>
    <w:p w14:paraId="22A7383C">
      <w:pPr>
        <w:adjustRightInd/>
        <w:spacing w:line="240" w:lineRule="auto"/>
        <w:rPr>
          <w:rFonts w:ascii="Times New Roman" w:hAnsi="Times New Roman"/>
        </w:rPr>
      </w:pPr>
      <w:r>
        <w:rPr>
          <w:rFonts w:ascii="Times New Roman" w:hAnsi="Times New Roman"/>
        </w:rPr>
        <w:t xml:space="preserve"> </w:t>
      </w:r>
    </w:p>
    <w:tbl>
      <w:tblPr>
        <w:tblStyle w:val="232"/>
        <w:tblW w:w="8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59"/>
      </w:tblGrid>
      <w:tr w14:paraId="4B892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single" w:color="auto" w:sz="4" w:space="0"/>
              <w:left w:val="single" w:color="auto" w:sz="4" w:space="0"/>
              <w:bottom w:val="single" w:color="auto" w:sz="4" w:space="0"/>
              <w:right w:val="single" w:color="auto" w:sz="4" w:space="0"/>
            </w:tcBorders>
          </w:tcPr>
          <w:p w14:paraId="6A74D9AE">
            <w:pPr>
              <w:adjustRightInd/>
              <w:spacing w:line="240" w:lineRule="auto"/>
              <w:rPr>
                <w:rFonts w:ascii="Times New Roman" w:hAnsi="Times New Roman" w:eastAsia="Times New Roman"/>
              </w:rPr>
            </w:pPr>
            <w:r>
              <w:rPr>
                <w:rFonts w:hint="eastAsia" w:ascii="Times New Roman" w:hAnsi="Times New Roman" w:eastAsia="Times New Roman"/>
                <w:b/>
                <w:bCs/>
              </w:rPr>
              <w:t>90</w:t>
            </w:r>
            <w:r>
              <w:rPr>
                <w:rFonts w:hint="eastAsia" w:ascii="宋体" w:hAnsi="宋体" w:eastAsia="Times New Roman"/>
                <w:b/>
                <w:bCs/>
              </w:rPr>
              <w:t>天随访：</w:t>
            </w:r>
            <w:r>
              <w:rPr>
                <w:rFonts w:hint="eastAsia" w:ascii="宋体" w:hAnsi="宋体" w:eastAsia="Times New Roman"/>
              </w:rPr>
              <w:t>日期：</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年</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月</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日</w:t>
            </w:r>
          </w:p>
        </w:tc>
      </w:tr>
      <w:tr w14:paraId="2A16B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single" w:color="auto" w:sz="4" w:space="0"/>
              <w:left w:val="single" w:color="auto" w:sz="4" w:space="0"/>
              <w:bottom w:val="nil"/>
              <w:right w:val="single" w:color="auto" w:sz="4" w:space="0"/>
            </w:tcBorders>
          </w:tcPr>
          <w:p w14:paraId="33E52976">
            <w:pPr>
              <w:adjustRightInd/>
              <w:spacing w:line="240" w:lineRule="auto"/>
              <w:ind w:firstLine="1050" w:firstLineChars="500"/>
              <w:rPr>
                <w:rFonts w:ascii="Times New Roman" w:hAnsi="Times New Roman" w:eastAsia="Times New Roman"/>
              </w:rPr>
            </w:pPr>
            <w:r>
              <w:rPr>
                <w:rFonts w:hint="eastAsia" w:ascii="宋体" w:hAnsi="宋体" w:eastAsia="Times New Roman"/>
              </w:rPr>
              <w:t>是否有明显副作用</w:t>
            </w:r>
            <w:r>
              <w:rPr>
                <w:rFonts w:hint="eastAsia" w:ascii="Times New Roman" w:hAnsi="Times New Roman" w:eastAsia="Times New Roman"/>
              </w:rPr>
              <w:t xml:space="preserve"> </w:t>
            </w:r>
            <w:r>
              <w:rPr>
                <w:rFonts w:ascii="Times New Roman" w:hAnsi="Times New Roman" w:eastAsia="Times New Roman"/>
              </w:rPr>
              <w:t xml:space="preserve">   </w:t>
            </w:r>
            <w:r>
              <w:rPr>
                <w:rFonts w:hint="eastAsia" w:ascii="宋体" w:hAnsi="宋体" w:eastAsia="Times New Roman"/>
              </w:rPr>
              <w:t xml:space="preserve">□有 </w:t>
            </w:r>
            <w:r>
              <w:rPr>
                <w:rFonts w:ascii="Times New Roman" w:hAnsi="Times New Roman" w:eastAsia="Times New Roman"/>
              </w:rPr>
              <w:t xml:space="preserve">       </w:t>
            </w:r>
            <w:r>
              <w:rPr>
                <w:rFonts w:hint="eastAsia" w:ascii="宋体" w:hAnsi="宋体" w:eastAsia="Times New Roman"/>
              </w:rPr>
              <w:t xml:space="preserve">□无 </w:t>
            </w:r>
            <w:r>
              <w:rPr>
                <w:rFonts w:ascii="Times New Roman" w:hAnsi="Times New Roman" w:eastAsia="Times New Roman"/>
              </w:rPr>
              <w:t xml:space="preserve">      </w:t>
            </w:r>
            <w:r>
              <w:rPr>
                <w:rFonts w:hint="eastAsia" w:ascii="宋体" w:hAnsi="宋体" w:eastAsia="Times New Roman"/>
              </w:rPr>
              <w:t>□失访</w:t>
            </w:r>
          </w:p>
        </w:tc>
      </w:tr>
      <w:tr w14:paraId="32118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nil"/>
              <w:left w:val="single" w:color="auto" w:sz="4" w:space="0"/>
              <w:bottom w:val="single" w:color="auto" w:sz="4" w:space="0"/>
              <w:right w:val="single" w:color="auto" w:sz="4" w:space="0"/>
            </w:tcBorders>
          </w:tcPr>
          <w:p w14:paraId="1B4130E5">
            <w:pPr>
              <w:adjustRightInd/>
              <w:spacing w:line="240" w:lineRule="auto"/>
              <w:ind w:firstLine="1050" w:firstLineChars="500"/>
              <w:rPr>
                <w:rFonts w:ascii="Times New Roman" w:hAnsi="Times New Roman" w:eastAsia="Times New Roman"/>
              </w:rPr>
            </w:pPr>
            <w:r>
              <w:rPr>
                <w:rFonts w:hint="eastAsia" w:ascii="Times New Roman" w:hAnsi="Times New Roman" w:eastAsia="Times New Roman"/>
              </w:rPr>
              <w:t>HIV</w:t>
            </w:r>
            <w:r>
              <w:rPr>
                <w:rFonts w:hint="eastAsia" w:ascii="宋体" w:hAnsi="宋体" w:eastAsia="Times New Roman"/>
              </w:rPr>
              <w:t xml:space="preserve">抗体检测结果： </w:t>
            </w:r>
            <w:r>
              <w:rPr>
                <w:rFonts w:ascii="Times New Roman" w:hAnsi="Times New Roman" w:eastAsia="Times New Roman"/>
              </w:rPr>
              <w:t xml:space="preserve"> </w:t>
            </w:r>
            <w:r>
              <w:rPr>
                <w:rFonts w:hint="eastAsia" w:ascii="宋体" w:hAnsi="宋体" w:eastAsia="Times New Roman"/>
              </w:rPr>
              <w:t xml:space="preserve">□阴性 </w:t>
            </w:r>
            <w:r>
              <w:rPr>
                <w:rFonts w:ascii="Times New Roman" w:hAnsi="Times New Roman" w:eastAsia="Times New Roman"/>
              </w:rPr>
              <w:t xml:space="preserve">     </w:t>
            </w:r>
            <w:r>
              <w:rPr>
                <w:rFonts w:hint="eastAsia" w:ascii="宋体" w:hAnsi="宋体" w:eastAsia="Times New Roman"/>
              </w:rPr>
              <w:t>□初筛阳性</w:t>
            </w:r>
          </w:p>
        </w:tc>
      </w:tr>
      <w:tr w14:paraId="2E1DD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nil"/>
              <w:left w:val="single" w:color="auto" w:sz="4" w:space="0"/>
              <w:bottom w:val="single" w:color="auto" w:sz="4" w:space="0"/>
              <w:right w:val="single" w:color="auto" w:sz="4" w:space="0"/>
            </w:tcBorders>
          </w:tcPr>
          <w:p w14:paraId="2E4098DF">
            <w:pPr>
              <w:adjustRightInd/>
              <w:spacing w:line="240" w:lineRule="auto"/>
              <w:rPr>
                <w:rFonts w:ascii="Times New Roman" w:hAnsi="Times New Roman" w:eastAsia="Times New Roman"/>
              </w:rPr>
            </w:pPr>
            <w:r>
              <w:rPr>
                <w:rFonts w:hint="eastAsia" w:ascii="宋体" w:hAnsi="宋体" w:eastAsia="Times New Roman"/>
              </w:rPr>
              <w:t>其他检验结果附后：</w:t>
            </w:r>
          </w:p>
        </w:tc>
      </w:tr>
      <w:tr w14:paraId="6E640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nil"/>
              <w:left w:val="single" w:color="auto" w:sz="4" w:space="0"/>
              <w:bottom w:val="single" w:color="auto" w:sz="4" w:space="0"/>
              <w:right w:val="single" w:color="auto" w:sz="4" w:space="0"/>
            </w:tcBorders>
          </w:tcPr>
          <w:p w14:paraId="51DF7A0F">
            <w:pPr>
              <w:adjustRightInd/>
              <w:spacing w:line="240" w:lineRule="auto"/>
              <w:rPr>
                <w:rFonts w:ascii="Times New Roman" w:hAnsi="Times New Roman" w:eastAsia="Times New Roman"/>
              </w:rPr>
            </w:pPr>
            <w:r>
              <w:rPr>
                <w:rFonts w:hint="eastAsia" w:ascii="宋体" w:hAnsi="宋体" w:eastAsia="Times New Roman"/>
              </w:rPr>
              <w:t>备注：</w:t>
            </w:r>
          </w:p>
        </w:tc>
      </w:tr>
    </w:tbl>
    <w:p w14:paraId="077FF327">
      <w:pPr>
        <w:adjustRightInd/>
        <w:spacing w:line="240" w:lineRule="auto"/>
        <w:rPr>
          <w:rFonts w:ascii="Times New Roman" w:hAnsi="Times New Roman"/>
        </w:rPr>
      </w:pPr>
      <w:r>
        <w:rPr>
          <w:rFonts w:ascii="Times New Roman" w:hAnsi="Times New Roman"/>
        </w:rPr>
        <w:t xml:space="preserve"> </w:t>
      </w:r>
    </w:p>
    <w:p w14:paraId="42A8FFA4">
      <w:pPr>
        <w:adjustRightInd/>
        <w:spacing w:line="240" w:lineRule="auto"/>
        <w:rPr>
          <w:rFonts w:ascii="Times New Roman" w:hAnsi="Times New Roman"/>
        </w:rPr>
      </w:pPr>
      <w:r>
        <w:rPr>
          <w:rFonts w:ascii="Times New Roman" w:hAnsi="Times New Roman"/>
        </w:rPr>
        <w:t xml:space="preserve"> </w:t>
      </w:r>
    </w:p>
    <w:tbl>
      <w:tblPr>
        <w:tblStyle w:val="232"/>
        <w:tblW w:w="8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59"/>
      </w:tblGrid>
      <w:tr w14:paraId="53D44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single" w:color="auto" w:sz="4" w:space="0"/>
              <w:left w:val="single" w:color="auto" w:sz="4" w:space="0"/>
              <w:bottom w:val="nil"/>
              <w:right w:val="single" w:color="auto" w:sz="4" w:space="0"/>
            </w:tcBorders>
          </w:tcPr>
          <w:p w14:paraId="0CD2C51C">
            <w:pPr>
              <w:adjustRightInd/>
              <w:spacing w:line="240" w:lineRule="auto"/>
              <w:rPr>
                <w:rFonts w:ascii="Times New Roman" w:hAnsi="Times New Roman" w:eastAsia="Times New Roman"/>
              </w:rPr>
            </w:pPr>
            <w:r>
              <w:rPr>
                <w:rFonts w:hint="eastAsia" w:ascii="宋体" w:hAnsi="宋体" w:eastAsia="Times New Roman"/>
              </w:rPr>
              <w:t>是否完成</w:t>
            </w:r>
            <w:r>
              <w:rPr>
                <w:rFonts w:hint="eastAsia" w:ascii="Times New Roman" w:hAnsi="Times New Roman" w:eastAsia="Times New Roman"/>
              </w:rPr>
              <w:t>28</w:t>
            </w:r>
            <w:r>
              <w:rPr>
                <w:rFonts w:hint="eastAsia" w:ascii="宋体" w:hAnsi="宋体" w:eastAsia="Times New Roman"/>
              </w:rPr>
              <w:t xml:space="preserve">天规范用药方案 </w:t>
            </w:r>
            <w:r>
              <w:rPr>
                <w:rFonts w:ascii="Times New Roman" w:hAnsi="Times New Roman" w:eastAsia="Times New Roman"/>
              </w:rPr>
              <w:t xml:space="preserve">  </w:t>
            </w:r>
            <w:r>
              <w:rPr>
                <w:rFonts w:hint="eastAsia" w:ascii="宋体" w:hAnsi="宋体" w:eastAsia="Times New Roman"/>
              </w:rPr>
              <w:t xml:space="preserve">□是 </w:t>
            </w:r>
            <w:r>
              <w:rPr>
                <w:rFonts w:ascii="Times New Roman" w:hAnsi="Times New Roman" w:eastAsia="Times New Roman"/>
              </w:rPr>
              <w:t xml:space="preserve">       </w:t>
            </w:r>
            <w:r>
              <w:rPr>
                <w:rFonts w:hint="eastAsia" w:ascii="宋体" w:hAnsi="宋体" w:eastAsia="Times New Roman"/>
              </w:rPr>
              <w:t xml:space="preserve">□否 </w:t>
            </w:r>
            <w:r>
              <w:rPr>
                <w:rFonts w:ascii="Times New Roman" w:hAnsi="Times New Roman" w:eastAsia="Times New Roman"/>
              </w:rPr>
              <w:t xml:space="preserve">      </w:t>
            </w:r>
            <w:r>
              <w:rPr>
                <w:rFonts w:hint="eastAsia" w:ascii="宋体" w:hAnsi="宋体" w:eastAsia="Times New Roman"/>
              </w:rPr>
              <w:t>□失访</w:t>
            </w:r>
          </w:p>
        </w:tc>
      </w:tr>
      <w:tr w14:paraId="0A251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9" w:type="dxa"/>
            <w:tcBorders>
              <w:top w:val="single" w:color="auto" w:sz="4" w:space="0"/>
              <w:left w:val="single" w:color="auto" w:sz="4" w:space="0"/>
              <w:bottom w:val="single" w:color="auto" w:sz="4" w:space="0"/>
              <w:right w:val="single" w:color="auto" w:sz="4" w:space="0"/>
            </w:tcBorders>
          </w:tcPr>
          <w:p w14:paraId="6B6A28A8">
            <w:pPr>
              <w:adjustRightInd/>
              <w:spacing w:line="240" w:lineRule="auto"/>
              <w:ind w:left="1260" w:hanging="1260" w:hangingChars="600"/>
              <w:rPr>
                <w:rFonts w:ascii="Times New Roman" w:hAnsi="Times New Roman" w:eastAsia="Times New Roman"/>
              </w:rPr>
            </w:pPr>
            <w:r>
              <w:rPr>
                <w:rFonts w:hint="eastAsia" w:ascii="宋体" w:hAnsi="宋体" w:eastAsia="Times New Roman"/>
              </w:rPr>
              <w:t xml:space="preserve">结果判定：□未感染 </w:t>
            </w:r>
            <w:r>
              <w:rPr>
                <w:rFonts w:ascii="Times New Roman" w:hAnsi="Times New Roman" w:eastAsia="Times New Roman"/>
              </w:rPr>
              <w:t xml:space="preserve">   </w:t>
            </w:r>
            <w:r>
              <w:rPr>
                <w:rFonts w:hint="eastAsia" w:ascii="宋体" w:hAnsi="宋体" w:eastAsia="Times New Roman"/>
              </w:rPr>
              <w:t xml:space="preserve">□暴露前感染 </w:t>
            </w:r>
            <w:r>
              <w:rPr>
                <w:rFonts w:ascii="Times New Roman" w:hAnsi="Times New Roman" w:eastAsia="Times New Roman"/>
              </w:rPr>
              <w:t xml:space="preserve">   </w:t>
            </w:r>
            <w:r>
              <w:rPr>
                <w:rFonts w:hint="eastAsia" w:ascii="宋体" w:hAnsi="宋体" w:eastAsia="Times New Roman"/>
              </w:rPr>
              <w:t xml:space="preserve">□阳转 </w:t>
            </w:r>
            <w:r>
              <w:rPr>
                <w:rFonts w:ascii="Times New Roman" w:hAnsi="Times New Roman" w:eastAsia="Times New Roman"/>
              </w:rPr>
              <w:t xml:space="preserve">   </w:t>
            </w:r>
            <w:r>
              <w:rPr>
                <w:rFonts w:hint="eastAsia" w:ascii="宋体" w:hAnsi="宋体" w:eastAsia="Times New Roman"/>
              </w:rPr>
              <w:t xml:space="preserve">□拒绝检测 </w:t>
            </w:r>
            <w:r>
              <w:rPr>
                <w:rFonts w:ascii="Times New Roman" w:hAnsi="Times New Roman" w:eastAsia="Times New Roman"/>
              </w:rPr>
              <w:t xml:space="preserve">   </w:t>
            </w:r>
            <w:r>
              <w:rPr>
                <w:rFonts w:hint="eastAsia" w:ascii="宋体" w:hAnsi="宋体" w:eastAsia="Times New Roman"/>
              </w:rPr>
              <w:t xml:space="preserve">□失访 </w:t>
            </w:r>
            <w:r>
              <w:rPr>
                <w:rFonts w:ascii="Times New Roman" w:hAnsi="Times New Roman" w:eastAsia="Times New Roman"/>
              </w:rPr>
              <w:t xml:space="preserve">       </w:t>
            </w:r>
          </w:p>
          <w:p w14:paraId="45742681">
            <w:pPr>
              <w:adjustRightInd/>
              <w:spacing w:line="240" w:lineRule="auto"/>
              <w:ind w:left="1260" w:leftChars="500" w:hanging="210" w:hangingChars="100"/>
              <w:rPr>
                <w:rFonts w:ascii="Times New Roman" w:hAnsi="Times New Roman" w:eastAsia="Times New Roman"/>
              </w:rPr>
            </w:pPr>
            <w:r>
              <w:rPr>
                <w:rFonts w:hint="eastAsia" w:ascii="宋体" w:hAnsi="宋体" w:eastAsia="Times New Roman"/>
              </w:rPr>
              <w:t>□ 服药后因暴露源</w:t>
            </w:r>
            <w:r>
              <w:rPr>
                <w:rFonts w:hint="eastAsia" w:ascii="Times New Roman" w:hAnsi="Times New Roman" w:eastAsia="Times New Roman"/>
              </w:rPr>
              <w:t>HIV</w:t>
            </w:r>
            <w:r>
              <w:rPr>
                <w:rFonts w:hint="eastAsia" w:ascii="宋体" w:hAnsi="宋体" w:eastAsia="Times New Roman"/>
              </w:rPr>
              <w:t>阴性终止随访</w:t>
            </w:r>
          </w:p>
        </w:tc>
      </w:tr>
    </w:tbl>
    <w:p w14:paraId="3B54E0FD">
      <w:pPr>
        <w:adjustRightInd/>
        <w:spacing w:line="240" w:lineRule="auto"/>
        <w:rPr>
          <w:rFonts w:ascii="Times New Roman" w:hAnsi="Times New Roman"/>
        </w:rPr>
      </w:pPr>
      <w:r>
        <w:rPr>
          <w:rFonts w:ascii="Times New Roman" w:hAnsi="Times New Roman"/>
        </w:rPr>
        <w:t xml:space="preserve"> </w:t>
      </w:r>
    </w:p>
    <w:p w14:paraId="72382F84">
      <w:pPr>
        <w:adjustRightInd/>
        <w:spacing w:line="240" w:lineRule="auto"/>
        <w:rPr>
          <w:rFonts w:ascii="Times New Roman" w:hAnsi="Times New Roman"/>
        </w:rPr>
      </w:pPr>
      <w:r>
        <w:rPr>
          <w:rFonts w:ascii="Times New Roman" w:hAnsi="Times New Roman"/>
        </w:rPr>
        <w:t xml:space="preserve"> </w:t>
      </w:r>
    </w:p>
    <w:p w14:paraId="79552389">
      <w:pPr>
        <w:adjustRightInd/>
        <w:spacing w:line="240" w:lineRule="auto"/>
        <w:rPr>
          <w:rFonts w:ascii="Times New Roman" w:hAnsi="Times New Roman"/>
        </w:rPr>
      </w:pPr>
      <w:r>
        <w:rPr>
          <w:rFonts w:ascii="Times New Roman" w:hAnsi="Times New Roman"/>
        </w:rPr>
        <w:t xml:space="preserve"> </w:t>
      </w:r>
    </w:p>
    <w:p w14:paraId="16F6EF31">
      <w:pPr>
        <w:adjustRightInd/>
        <w:spacing w:line="240" w:lineRule="auto"/>
        <w:rPr>
          <w:rFonts w:ascii="Times New Roman" w:hAnsi="Times New Roman"/>
        </w:rPr>
      </w:pPr>
      <w:r>
        <w:rPr>
          <w:rFonts w:hint="eastAsia" w:ascii="宋体" w:hAnsi="宋体"/>
        </w:rPr>
        <w:t>医生签字：</w:t>
      </w:r>
      <w:r>
        <w:rPr>
          <w:rFonts w:hint="eastAsia" w:ascii="Times New Roman" w:hAnsi="Times New Roman"/>
          <w:u w:val="single"/>
        </w:rPr>
        <w:t xml:space="preserve">             </w:t>
      </w:r>
      <w:r>
        <w:rPr>
          <w:rFonts w:hint="eastAsia" w:ascii="Times New Roman" w:hAnsi="Times New Roman"/>
        </w:rPr>
        <w:t xml:space="preserve">                      </w:t>
      </w:r>
      <w:r>
        <w:rPr>
          <w:rFonts w:hint="eastAsia" w:ascii="宋体" w:hAnsi="宋体"/>
        </w:rPr>
        <w:t>服务对象签字：</w:t>
      </w:r>
      <w:r>
        <w:rPr>
          <w:rFonts w:hint="eastAsia" w:ascii="Times New Roman" w:hAnsi="Times New Roman"/>
          <w:u w:val="single"/>
        </w:rPr>
        <w:t xml:space="preserve">             </w:t>
      </w:r>
      <w:r>
        <w:rPr>
          <w:rFonts w:hint="eastAsia" w:ascii="Times New Roman" w:hAnsi="Times New Roman"/>
        </w:rPr>
        <w:t xml:space="preserve"> </w:t>
      </w:r>
    </w:p>
    <w:p w14:paraId="72BAB3D1">
      <w:pPr>
        <w:pStyle w:val="56"/>
        <w:ind w:firstLine="420"/>
      </w:pPr>
    </w:p>
    <w:p w14:paraId="56054D3C">
      <w:pPr>
        <w:pStyle w:val="56"/>
        <w:ind w:firstLine="420"/>
      </w:pPr>
    </w:p>
    <w:p w14:paraId="3F1F1CDC">
      <w:pPr>
        <w:pStyle w:val="56"/>
        <w:ind w:firstLine="420"/>
      </w:pPr>
    </w:p>
    <w:p w14:paraId="501E97A9">
      <w:pPr>
        <w:pStyle w:val="56"/>
        <w:ind w:firstLine="420"/>
        <w:sectPr>
          <w:pgSz w:w="11906" w:h="16838"/>
          <w:pgMar w:top="1928" w:right="1134" w:bottom="1134" w:left="1134" w:header="1418" w:footer="1134" w:gutter="284"/>
          <w:cols w:space="425" w:num="1"/>
          <w:formProt w:val="0"/>
          <w:docGrid w:type="lines" w:linePitch="312" w:charSpace="0"/>
        </w:sectPr>
      </w:pPr>
    </w:p>
    <w:p w14:paraId="175494DD">
      <w:pPr>
        <w:pStyle w:val="198"/>
      </w:pPr>
    </w:p>
    <w:p w14:paraId="3F4D140B">
      <w:pPr>
        <w:pStyle w:val="199"/>
      </w:pPr>
    </w:p>
    <w:p w14:paraId="6F31194B">
      <w:pPr>
        <w:pStyle w:val="76"/>
        <w:spacing w:after="156"/>
      </w:pPr>
      <w:r>
        <w:br w:type="textWrapping"/>
      </w:r>
      <w:r>
        <w:rPr>
          <w:rFonts w:hint="eastAsia"/>
        </w:rPr>
        <w:t>（资料性）</w:t>
      </w:r>
      <w:r>
        <w:br w:type="textWrapping"/>
      </w:r>
      <w:r>
        <w:rPr>
          <w:rFonts w:hint="eastAsia"/>
        </w:rPr>
        <w:t>HIV 暴露后预防 (PEP)知情同意书</w:t>
      </w:r>
    </w:p>
    <w:p w14:paraId="1658A23D">
      <w:pPr>
        <w:adjustRightInd/>
        <w:spacing w:line="360" w:lineRule="auto"/>
        <w:ind w:firstLine="420" w:firstLineChars="200"/>
        <w:rPr>
          <w:rFonts w:ascii="宋体" w:hAnsi="宋体"/>
        </w:rPr>
      </w:pPr>
      <w:r>
        <w:rPr>
          <w:rFonts w:hint="eastAsia" w:ascii="宋体" w:hAnsi="宋体"/>
        </w:rPr>
        <w:t>HIV 暴露后预防用药(PEP)是国际上证实有效的预防感染艾滋病病毒（HIV）的预防措施之一。在PEP前请您填写知情同意书，并获悉以下事项：</w:t>
      </w:r>
    </w:p>
    <w:p w14:paraId="7D021B0B">
      <w:pPr>
        <w:adjustRightInd/>
        <w:spacing w:line="360" w:lineRule="auto"/>
        <w:ind w:firstLine="470"/>
        <w:rPr>
          <w:rFonts w:ascii="宋体" w:hAnsi="宋体"/>
        </w:rPr>
      </w:pPr>
      <w:r>
        <w:rPr>
          <w:rFonts w:hint="eastAsia" w:ascii="宋体" w:hAnsi="宋体"/>
        </w:rPr>
        <w:t xml:space="preserve">1、经过评估您符合纳入 PEP 的条件。 </w:t>
      </w:r>
    </w:p>
    <w:p w14:paraId="35DEC48C">
      <w:pPr>
        <w:adjustRightInd/>
        <w:spacing w:line="360" w:lineRule="auto"/>
        <w:ind w:firstLine="470"/>
        <w:rPr>
          <w:rFonts w:ascii="宋体" w:hAnsi="宋体"/>
        </w:rPr>
      </w:pPr>
      <w:r>
        <w:rPr>
          <w:rFonts w:hint="eastAsia" w:ascii="宋体" w:hAnsi="宋体"/>
        </w:rPr>
        <w:t xml:space="preserve">2、请您按医嘱坚持服药，并接受随访，以有效预防 HIV 感染。但PEP不能保证 100%避HIV感染。建议尽早服药，如暴露超过72小时不建议使用 PEP。 </w:t>
      </w:r>
    </w:p>
    <w:p w14:paraId="47F26C09">
      <w:pPr>
        <w:adjustRightInd/>
        <w:spacing w:line="360" w:lineRule="auto"/>
        <w:ind w:firstLine="470"/>
        <w:rPr>
          <w:rFonts w:ascii="宋体" w:hAnsi="宋体"/>
        </w:rPr>
      </w:pPr>
      <w:r>
        <w:rPr>
          <w:rFonts w:hint="eastAsia" w:ascii="宋体" w:hAnsi="宋体"/>
        </w:rPr>
        <w:t xml:space="preserve">3、基线检测有助于PEP的评估和病情的判断，在基线评估 HIV 感染状况时，由于检测手段的限制，不能完全排除您处于感染“窗口期”的可能。 </w:t>
      </w:r>
    </w:p>
    <w:p w14:paraId="25095AA7">
      <w:pPr>
        <w:adjustRightInd/>
        <w:spacing w:line="360" w:lineRule="auto"/>
        <w:ind w:firstLine="470"/>
        <w:rPr>
          <w:rFonts w:ascii="宋体" w:hAnsi="宋体"/>
        </w:rPr>
      </w:pPr>
      <w:r>
        <w:rPr>
          <w:rFonts w:hint="eastAsia" w:ascii="宋体" w:hAnsi="宋体"/>
        </w:rPr>
        <w:t xml:space="preserve">4、服药后您可能会出现副作用，建议必要时就诊，在医生指导下处理。 </w:t>
      </w:r>
    </w:p>
    <w:p w14:paraId="4AF79158">
      <w:pPr>
        <w:adjustRightInd/>
        <w:spacing w:line="360" w:lineRule="auto"/>
        <w:ind w:firstLine="470"/>
        <w:rPr>
          <w:rFonts w:ascii="宋体" w:hAnsi="宋体"/>
        </w:rPr>
      </w:pPr>
      <w:r>
        <w:rPr>
          <w:rFonts w:hint="eastAsia" w:ascii="宋体" w:hAnsi="宋体"/>
        </w:rPr>
        <w:t xml:space="preserve">5、PEP 只能预防 HIV 感染，不能预防梅毒、淋病、尖锐湿疣等其他性病的传播，所以建议您在服用 PEP 的同时，使用安全套保护自身健康。 </w:t>
      </w:r>
    </w:p>
    <w:p w14:paraId="1004C134">
      <w:pPr>
        <w:adjustRightInd/>
        <w:spacing w:line="360" w:lineRule="auto"/>
        <w:ind w:firstLine="470"/>
        <w:rPr>
          <w:rFonts w:ascii="宋体" w:hAnsi="宋体"/>
        </w:rPr>
      </w:pPr>
      <w:r>
        <w:rPr>
          <w:rFonts w:hint="eastAsia" w:ascii="宋体" w:hAnsi="宋体"/>
        </w:rPr>
        <w:t xml:space="preserve">6.我们会对您在询问中提供的涉及个人隐私的信息保密。如果在今后研究中 使用这些数据，都会隐去可以识别个人身份的信息。 </w:t>
      </w:r>
    </w:p>
    <w:p w14:paraId="267CBC02">
      <w:pPr>
        <w:adjustRightInd/>
        <w:spacing w:line="360" w:lineRule="auto"/>
        <w:ind w:firstLine="470"/>
        <w:rPr>
          <w:rFonts w:ascii="宋体" w:hAnsi="宋体"/>
        </w:rPr>
      </w:pPr>
      <w:r>
        <w:rPr>
          <w:rFonts w:hint="eastAsia" w:ascii="宋体" w:hAnsi="宋体"/>
        </w:rPr>
        <w:t xml:space="preserve">7.请您如实回答医生提出的全部问题，如因提供信息不实，误导了医生对暴 露风险的判断和用药方案的制定，可能会对您的健康造成损害，所以请您务必提供真实信息。 </w:t>
      </w:r>
    </w:p>
    <w:p w14:paraId="68CFF3F5">
      <w:pPr>
        <w:adjustRightInd/>
        <w:spacing w:line="360" w:lineRule="auto"/>
        <w:ind w:firstLine="470"/>
        <w:rPr>
          <w:rFonts w:ascii="宋体" w:hAnsi="宋体"/>
        </w:rPr>
      </w:pPr>
      <w:r>
        <w:rPr>
          <w:rFonts w:hint="eastAsia" w:ascii="宋体" w:hAnsi="宋体"/>
        </w:rPr>
        <w:t xml:space="preserve">8.关于PEP的药物有多种选择，您可根据自身经济状况和需求与医生讨论具 体用药方案。药物及相关检查费用由您个人承担。 </w:t>
      </w:r>
    </w:p>
    <w:p w14:paraId="449DD562">
      <w:pPr>
        <w:adjustRightInd/>
        <w:spacing w:line="360" w:lineRule="auto"/>
        <w:ind w:firstLine="470"/>
        <w:rPr>
          <w:rFonts w:ascii="宋体" w:hAnsi="宋体"/>
        </w:rPr>
      </w:pPr>
      <w:r>
        <w:rPr>
          <w:rFonts w:hint="eastAsia" w:ascii="宋体" w:hAnsi="宋体"/>
        </w:rPr>
        <w:t xml:space="preserve"> “本人已了解以上全部内容，并自愿服用PEP，完整服用28天。”</w:t>
      </w:r>
    </w:p>
    <w:p w14:paraId="52EE55A1">
      <w:pPr>
        <w:adjustRightInd/>
        <w:spacing w:line="360" w:lineRule="auto"/>
        <w:ind w:firstLine="470"/>
        <w:rPr>
          <w:rFonts w:ascii="宋体" w:hAnsi="宋体"/>
        </w:rPr>
      </w:pPr>
      <w:r>
        <w:rPr>
          <w:rFonts w:hint="eastAsia" w:ascii="宋体" w:hAnsi="宋体"/>
        </w:rPr>
        <w:t xml:space="preserve">咨询电话：                    联系人： </w:t>
      </w:r>
    </w:p>
    <w:p w14:paraId="3FC4A51E">
      <w:pPr>
        <w:adjustRightInd/>
        <w:spacing w:line="360" w:lineRule="auto"/>
        <w:rPr>
          <w:rFonts w:ascii="宋体" w:hAnsi="宋体"/>
        </w:rPr>
      </w:pPr>
      <w:r>
        <w:rPr>
          <w:rFonts w:hint="eastAsia" w:ascii="宋体" w:hAnsi="宋体"/>
        </w:rPr>
        <w:t>签字:______________日期:______年_____月_____日 电话：_____________</w:t>
      </w:r>
    </w:p>
    <w:p w14:paraId="1FC8CF5C">
      <w:pPr>
        <w:pStyle w:val="56"/>
        <w:ind w:firstLine="420"/>
      </w:pPr>
    </w:p>
    <w:p w14:paraId="5B655DF2">
      <w:pPr>
        <w:pStyle w:val="56"/>
        <w:ind w:firstLine="420"/>
      </w:pPr>
    </w:p>
    <w:p w14:paraId="4DE5A39E">
      <w:pPr>
        <w:pStyle w:val="56"/>
        <w:ind w:firstLine="420"/>
      </w:pPr>
    </w:p>
    <w:p w14:paraId="6C4E249E">
      <w:pPr>
        <w:pStyle w:val="56"/>
        <w:ind w:firstLine="420"/>
      </w:pPr>
    </w:p>
    <w:bookmarkEnd w:id="44"/>
    <w:p w14:paraId="7F4239E7">
      <w:pPr>
        <w:pStyle w:val="56"/>
        <w:ind w:firstLine="0" w:firstLineChars="0"/>
        <w:jc w:val="center"/>
      </w:pPr>
      <w:bookmarkStart w:id="45" w:name="BookMark8"/>
      <w:r>
        <w:rPr>
          <w:rFonts w:hint="eastAsia"/>
        </w:rPr>
        <w:drawing>
          <wp:inline distT="0" distB="0" distL="0" distR="0">
            <wp:extent cx="1485900" cy="317500"/>
            <wp:effectExtent l="0" t="0" r="0" b="6350"/>
            <wp:docPr id="863122959" name="图片 3"/>
            <wp:cNvGraphicFramePr/>
            <a:graphic xmlns:a="http://schemas.openxmlformats.org/drawingml/2006/main">
              <a:graphicData uri="http://schemas.openxmlformats.org/drawingml/2006/picture">
                <pic:pic xmlns:pic="http://schemas.openxmlformats.org/drawingml/2006/picture">
                  <pic:nvPicPr>
                    <pic:cNvPr id="863122959" name="图片 3"/>
                    <pic:cNvPicPr/>
                  </pic:nvPicPr>
                  <pic:blipFill>
                    <a:blip r:embed="rId18">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5"/>
    </w:p>
    <w:sectPr>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roman"/>
    <w:pitch w:val="default"/>
    <w:sig w:usb0="A00002BF" w:usb1="38CF7CFA" w:usb2="00000016" w:usb3="00000000" w:csb0="0004000F" w:csb1="00000000"/>
  </w:font>
  <w:font w:name="等线 Light">
    <w:panose1 w:val="02010600030101010101"/>
    <w:charset w:val="86"/>
    <w:family w:val="roman"/>
    <w:pitch w:val="default"/>
    <w:sig w:usb0="A00002BF" w:usb1="38CF7CFA" w:usb2="00000016" w:usb3="00000000" w:csb0="0004000F" w:csb1="00000000"/>
  </w:font>
  <w:font w:name="华文宋体">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C9E48C">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5FDCAE">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6A2DFE">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610461">
    <w:pPr>
      <w:pStyle w:val="52"/>
    </w:pPr>
    <w:r>
      <w:fldChar w:fldCharType="begin"/>
    </w:r>
    <w:r>
      <w:instrText xml:space="preserve">PAGE   \* MERGEFORMAT</w:instrText>
    </w:r>
    <w:r>
      <w:fldChar w:fldCharType="separate"/>
    </w:r>
    <w:r>
      <w:rPr>
        <w:lang w:val="zh-CN"/>
      </w:rPr>
      <w:t>5</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C7039D">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889E35">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B97C4E">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72567D">
    <w:pPr>
      <w:pStyle w:val="61"/>
    </w:pPr>
    <w:r>
      <w:fldChar w:fldCharType="begin"/>
    </w:r>
    <w:r>
      <w:instrText xml:space="preserve"> STYLEREF  标准文件_文件编号  \* MERGEFORMAT </w:instrText>
    </w:r>
    <w:r>
      <w:fldChar w:fldCharType="separate"/>
    </w:r>
    <w:r>
      <w:t>DB 21/T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FC6FF0">
    <w:pPr>
      <w:pStyle w:val="18"/>
      <w:jc w:val="right"/>
      <w:rPr>
        <w:lang w:val="fr-FR"/>
      </w:rPr>
    </w:pPr>
    <w:r>
      <w:fldChar w:fldCharType="begin"/>
    </w:r>
    <w:r>
      <w:instrText xml:space="preserve"> STYLEREF  标准文件_文件编号  \* MERGEFORMAT </w:instrText>
    </w:r>
    <w:r>
      <w:fldChar w:fldCharType="separate"/>
    </w:r>
    <w:r>
      <w:t>DB 21/T XXXX—XXXX</w:t>
    </w:r>
    <w:r>
      <w:rPr>
        <w:lang w:val="fr-FR"/>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attachedTemplate r:id="rId1"/>
  <w:documentProtection w:edit="forms" w:enforcement="1"/>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7F0C"/>
    <w:rsid w:val="0000040A"/>
    <w:rsid w:val="00000A94"/>
    <w:rsid w:val="00001972"/>
    <w:rsid w:val="00001D9A"/>
    <w:rsid w:val="00007B3A"/>
    <w:rsid w:val="000107E0"/>
    <w:rsid w:val="00011FDE"/>
    <w:rsid w:val="00012FFD"/>
    <w:rsid w:val="00014162"/>
    <w:rsid w:val="00014340"/>
    <w:rsid w:val="00016A9C"/>
    <w:rsid w:val="000217EB"/>
    <w:rsid w:val="00022184"/>
    <w:rsid w:val="00022762"/>
    <w:rsid w:val="000238E0"/>
    <w:rsid w:val="000249DB"/>
    <w:rsid w:val="0002595E"/>
    <w:rsid w:val="000303C3"/>
    <w:rsid w:val="00031289"/>
    <w:rsid w:val="000331D3"/>
    <w:rsid w:val="000346A5"/>
    <w:rsid w:val="000359C3"/>
    <w:rsid w:val="00035A7D"/>
    <w:rsid w:val="000365ED"/>
    <w:rsid w:val="00040886"/>
    <w:rsid w:val="00040DAF"/>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B6A4E"/>
    <w:rsid w:val="000C0F6C"/>
    <w:rsid w:val="000C11DB"/>
    <w:rsid w:val="000C1492"/>
    <w:rsid w:val="000C2FBD"/>
    <w:rsid w:val="000C4B41"/>
    <w:rsid w:val="000C57D6"/>
    <w:rsid w:val="000C6362"/>
    <w:rsid w:val="000C7666"/>
    <w:rsid w:val="000D0A9C"/>
    <w:rsid w:val="000D1795"/>
    <w:rsid w:val="000D329A"/>
    <w:rsid w:val="000D4B9C"/>
    <w:rsid w:val="000D4EB6"/>
    <w:rsid w:val="000D5699"/>
    <w:rsid w:val="000D753B"/>
    <w:rsid w:val="000E4C9E"/>
    <w:rsid w:val="000E6FD7"/>
    <w:rsid w:val="000F06E1"/>
    <w:rsid w:val="000F0E3C"/>
    <w:rsid w:val="000F19D5"/>
    <w:rsid w:val="000F4AEA"/>
    <w:rsid w:val="000F633F"/>
    <w:rsid w:val="000F67E9"/>
    <w:rsid w:val="000F7C5A"/>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47AF1"/>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1C2"/>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632"/>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5054"/>
    <w:rsid w:val="00266EEB"/>
    <w:rsid w:val="00267EF4"/>
    <w:rsid w:val="00270CB8"/>
    <w:rsid w:val="00272B08"/>
    <w:rsid w:val="002771AC"/>
    <w:rsid w:val="00281BB8"/>
    <w:rsid w:val="00281E9E"/>
    <w:rsid w:val="00282405"/>
    <w:rsid w:val="00285170"/>
    <w:rsid w:val="00285361"/>
    <w:rsid w:val="00292D60"/>
    <w:rsid w:val="00292D7B"/>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5C14"/>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4B4B"/>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4507"/>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0BFF"/>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07F60"/>
    <w:rsid w:val="00510A7B"/>
    <w:rsid w:val="00512F6E"/>
    <w:rsid w:val="00513038"/>
    <w:rsid w:val="00514174"/>
    <w:rsid w:val="00516088"/>
    <w:rsid w:val="00516B0B"/>
    <w:rsid w:val="005220EC"/>
    <w:rsid w:val="00523F95"/>
    <w:rsid w:val="00524D65"/>
    <w:rsid w:val="00525B16"/>
    <w:rsid w:val="00533D04"/>
    <w:rsid w:val="00533F1B"/>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76C11"/>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5D52"/>
    <w:rsid w:val="005A7830"/>
    <w:rsid w:val="005A7FCE"/>
    <w:rsid w:val="005B0788"/>
    <w:rsid w:val="005B0F3F"/>
    <w:rsid w:val="005B4903"/>
    <w:rsid w:val="005B51CE"/>
    <w:rsid w:val="005B5885"/>
    <w:rsid w:val="005B5CD7"/>
    <w:rsid w:val="005B6CF6"/>
    <w:rsid w:val="005B7422"/>
    <w:rsid w:val="005C29B8"/>
    <w:rsid w:val="005C4D6C"/>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345"/>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77F0C"/>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E7A1B"/>
    <w:rsid w:val="006F03A8"/>
    <w:rsid w:val="006F2ACA"/>
    <w:rsid w:val="006F2ADC"/>
    <w:rsid w:val="006F2BFE"/>
    <w:rsid w:val="006F31E9"/>
    <w:rsid w:val="006F6284"/>
    <w:rsid w:val="007002C5"/>
    <w:rsid w:val="00704387"/>
    <w:rsid w:val="00707669"/>
    <w:rsid w:val="00711CBA"/>
    <w:rsid w:val="00711FB5"/>
    <w:rsid w:val="00712A01"/>
    <w:rsid w:val="00714F58"/>
    <w:rsid w:val="00716C52"/>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41A"/>
    <w:rsid w:val="00767C61"/>
    <w:rsid w:val="0077008A"/>
    <w:rsid w:val="00773C1F"/>
    <w:rsid w:val="00774DA4"/>
    <w:rsid w:val="00775EC1"/>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5A65"/>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091A"/>
    <w:rsid w:val="00911BE5"/>
    <w:rsid w:val="00912C0A"/>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3EC4"/>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2E3"/>
    <w:rsid w:val="00CD4A20"/>
    <w:rsid w:val="00CD50A1"/>
    <w:rsid w:val="00CD519E"/>
    <w:rsid w:val="00CD561D"/>
    <w:rsid w:val="00CE0C4F"/>
    <w:rsid w:val="00CE30EA"/>
    <w:rsid w:val="00CF048A"/>
    <w:rsid w:val="00CF155A"/>
    <w:rsid w:val="00CF2947"/>
    <w:rsid w:val="00CF686F"/>
    <w:rsid w:val="00CF6E60"/>
    <w:rsid w:val="00CF7BCA"/>
    <w:rsid w:val="00D008FD"/>
    <w:rsid w:val="00D02CD8"/>
    <w:rsid w:val="00D0321C"/>
    <w:rsid w:val="00D035EC"/>
    <w:rsid w:val="00D06AB1"/>
    <w:rsid w:val="00D072ED"/>
    <w:rsid w:val="00D07A16"/>
    <w:rsid w:val="00D1067E"/>
    <w:rsid w:val="00D10F50"/>
    <w:rsid w:val="00D11272"/>
    <w:rsid w:val="00D126F5"/>
    <w:rsid w:val="00D1489E"/>
    <w:rsid w:val="00D20737"/>
    <w:rsid w:val="00D21E81"/>
    <w:rsid w:val="00D223DE"/>
    <w:rsid w:val="00D22E4C"/>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0B1"/>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2924"/>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629"/>
    <w:rsid w:val="00FD09A1"/>
    <w:rsid w:val="00FD2A7C"/>
    <w:rsid w:val="00FD2B36"/>
    <w:rsid w:val="00FD59EB"/>
    <w:rsid w:val="00FD7299"/>
    <w:rsid w:val="00FE1FBE"/>
    <w:rsid w:val="00FE3901"/>
    <w:rsid w:val="00FE39D3"/>
    <w:rsid w:val="00FE4BCE"/>
    <w:rsid w:val="00FE54AE"/>
    <w:rsid w:val="00FE576A"/>
    <w:rsid w:val="00FE7E79"/>
    <w:rsid w:val="00FF3E7D"/>
    <w:rsid w:val="00FF5B99"/>
    <w:rsid w:val="00FF730C"/>
    <w:rsid w:val="00FF73F4"/>
    <w:rsid w:val="00FF7A6B"/>
    <w:rsid w:val="00FF7CE4"/>
    <w:rsid w:val="00FF7E39"/>
    <w:rsid w:val="162E6FC6"/>
    <w:rsid w:val="17E603C4"/>
    <w:rsid w:val="2F3D641E"/>
    <w:rsid w:val="52E156A6"/>
    <w:rsid w:val="59D03D47"/>
    <w:rsid w:val="5AEB22B8"/>
    <w:rsid w:val="60DE2F2C"/>
    <w:rsid w:val="64F817C1"/>
    <w:rsid w:val="6BF4655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Char"/>
    <w:link w:val="2"/>
    <w:qFormat/>
    <w:uiPriority w:val="0"/>
    <w:rPr>
      <w:b/>
      <w:bCs/>
      <w:kern w:val="44"/>
      <w:sz w:val="44"/>
      <w:szCs w:val="44"/>
    </w:rPr>
  </w:style>
  <w:style w:type="character" w:customStyle="1" w:styleId="35">
    <w:name w:val="标题 2 Char"/>
    <w:link w:val="3"/>
    <w:qFormat/>
    <w:uiPriority w:val="0"/>
    <w:rPr>
      <w:rFonts w:ascii="Arial" w:hAnsi="Arial" w:eastAsia="黑体"/>
      <w:b/>
      <w:bCs/>
      <w:kern w:val="2"/>
      <w:sz w:val="32"/>
      <w:szCs w:val="32"/>
    </w:rPr>
  </w:style>
  <w:style w:type="character" w:customStyle="1" w:styleId="36">
    <w:name w:val="标题 3 Char"/>
    <w:link w:val="4"/>
    <w:qFormat/>
    <w:uiPriority w:val="0"/>
    <w:rPr>
      <w:b/>
      <w:bCs/>
      <w:kern w:val="2"/>
      <w:sz w:val="32"/>
      <w:szCs w:val="32"/>
    </w:rPr>
  </w:style>
  <w:style w:type="character" w:customStyle="1" w:styleId="37">
    <w:name w:val="标题 4 Char"/>
    <w:link w:val="5"/>
    <w:qFormat/>
    <w:uiPriority w:val="0"/>
    <w:rPr>
      <w:rFonts w:ascii="Arial" w:hAnsi="Arial" w:eastAsia="黑体"/>
      <w:b/>
      <w:bCs/>
      <w:kern w:val="2"/>
      <w:sz w:val="28"/>
      <w:szCs w:val="28"/>
    </w:rPr>
  </w:style>
  <w:style w:type="character" w:customStyle="1" w:styleId="38">
    <w:name w:val="标题 5 Char"/>
    <w:link w:val="6"/>
    <w:qFormat/>
    <w:uiPriority w:val="0"/>
    <w:rPr>
      <w:b/>
      <w:bCs/>
      <w:kern w:val="2"/>
      <w:sz w:val="28"/>
      <w:szCs w:val="28"/>
    </w:rPr>
  </w:style>
  <w:style w:type="character" w:customStyle="1" w:styleId="39">
    <w:name w:val="标题 6 Char"/>
    <w:link w:val="7"/>
    <w:qFormat/>
    <w:uiPriority w:val="0"/>
    <w:rPr>
      <w:rFonts w:ascii="Arial" w:hAnsi="Arial" w:eastAsia="黑体"/>
      <w:b/>
      <w:bCs/>
      <w:kern w:val="2"/>
      <w:sz w:val="24"/>
      <w:szCs w:val="24"/>
    </w:rPr>
  </w:style>
  <w:style w:type="character" w:customStyle="1" w:styleId="40">
    <w:name w:val="标题 7 Char"/>
    <w:link w:val="8"/>
    <w:qFormat/>
    <w:uiPriority w:val="0"/>
    <w:rPr>
      <w:b/>
      <w:bCs/>
      <w:kern w:val="2"/>
      <w:sz w:val="24"/>
      <w:szCs w:val="24"/>
    </w:rPr>
  </w:style>
  <w:style w:type="character" w:customStyle="1" w:styleId="41">
    <w:name w:val="标题 8 Char"/>
    <w:link w:val="9"/>
    <w:qFormat/>
    <w:uiPriority w:val="0"/>
    <w:rPr>
      <w:rFonts w:ascii="Arial" w:hAnsi="Arial" w:eastAsia="黑体"/>
      <w:kern w:val="2"/>
      <w:sz w:val="24"/>
      <w:szCs w:val="24"/>
    </w:rPr>
  </w:style>
  <w:style w:type="character" w:customStyle="1" w:styleId="42">
    <w:name w:val="标题 9 Char"/>
    <w:link w:val="10"/>
    <w:qFormat/>
    <w:uiPriority w:val="0"/>
    <w:rPr>
      <w:rFonts w:ascii="Arial" w:hAnsi="Arial" w:eastAsia="黑体"/>
      <w:kern w:val="2"/>
      <w:sz w:val="21"/>
      <w:szCs w:val="21"/>
    </w:rPr>
  </w:style>
  <w:style w:type="character" w:customStyle="1" w:styleId="43">
    <w:name w:val="页眉 Char"/>
    <w:link w:val="18"/>
    <w:qFormat/>
    <w:uiPriority w:val="99"/>
    <w:rPr>
      <w:kern w:val="2"/>
      <w:sz w:val="18"/>
      <w:szCs w:val="18"/>
    </w:rPr>
  </w:style>
  <w:style w:type="character" w:customStyle="1" w:styleId="44">
    <w:name w:val="页脚 Char"/>
    <w:link w:val="17"/>
    <w:qFormat/>
    <w:uiPriority w:val="99"/>
    <w:rPr>
      <w:rFonts w:ascii="宋体"/>
      <w:kern w:val="2"/>
      <w:sz w:val="18"/>
      <w:szCs w:val="18"/>
    </w:rPr>
  </w:style>
  <w:style w:type="character" w:customStyle="1" w:styleId="45">
    <w:name w:val="批注框文本 Char"/>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Char"/>
    <w:link w:val="46"/>
    <w:qFormat/>
    <w:uiPriority w:val="29"/>
    <w:rPr>
      <w:i/>
      <w:iCs/>
      <w:color w:val="000000"/>
      <w:kern w:val="2"/>
      <w:sz w:val="21"/>
      <w:szCs w:val="21"/>
    </w:rPr>
  </w:style>
  <w:style w:type="character" w:customStyle="1" w:styleId="48">
    <w:name w:val="标题 Char"/>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qFormat/>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58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Lines="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56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Lines="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Lines="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Lines="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Lines="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Lines="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Lines="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Char"/>
    <w:link w:val="13"/>
    <w:qFormat/>
    <w:uiPriority w:val="0"/>
    <w:rPr>
      <w:kern w:val="2"/>
      <w:sz w:val="21"/>
      <w:szCs w:val="21"/>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before="48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ind w:left="0" w:firstLine="0"/>
    </w:pPr>
  </w:style>
  <w:style w:type="paragraph" w:customStyle="1" w:styleId="91">
    <w:name w:val="标准文件_目录标题"/>
    <w:basedOn w:val="1"/>
    <w:qFormat/>
    <w:uiPriority w:val="0"/>
    <w:pPr>
      <w:spacing w:before="48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Subtle Reference"/>
    <w:qFormat/>
    <w:uiPriority w:val="31"/>
    <w:rPr>
      <w:smallCaps/>
      <w:color w:val="C0504D"/>
      <w:u w:val="single"/>
    </w:rPr>
  </w:style>
  <w:style w:type="paragraph" w:customStyle="1" w:styleId="96">
    <w:name w:val="标准文件_示例后续"/>
    <w:basedOn w:val="1"/>
    <w:qFormat/>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character" w:customStyle="1" w:styleId="99">
    <w:name w:val="脚注文本 Char"/>
    <w:link w:val="21"/>
    <w:semiHidden/>
    <w:qFormat/>
    <w:uiPriority w:val="0"/>
    <w:rPr>
      <w:rFonts w:ascii="宋体"/>
      <w:kern w:val="2"/>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qFormat/>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Lines="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Lines="50" w:afterLines="5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qFormat/>
    <w:uiPriority w:val="0"/>
    <w:pPr>
      <w:numPr>
        <w:ilvl w:val="0"/>
        <w:numId w:val="16"/>
      </w:numPr>
      <w:tabs>
        <w:tab w:val="left" w:pos="0"/>
      </w:tabs>
      <w:spacing w:beforeLines="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qFormat/>
    <w:uiPriority w:val="0"/>
    <w:pPr>
      <w:numPr>
        <w:ilvl w:val="0"/>
        <w:numId w:val="17"/>
      </w:numPr>
      <w:spacing w:beforeLines="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Lines="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qFormat/>
    <w:uiPriority w:val="0"/>
    <w:pPr>
      <w:adjustRightInd/>
      <w:spacing w:line="240" w:lineRule="auto"/>
      <w:jc w:val="left"/>
    </w:pPr>
    <w:rPr>
      <w:bCs/>
      <w:iCs/>
    </w:rPr>
  </w:style>
  <w:style w:type="paragraph" w:customStyle="1" w:styleId="143">
    <w:name w:val="目录 31"/>
    <w:basedOn w:val="1"/>
    <w:next w:val="1"/>
    <w:autoRedefine/>
    <w:semiHidden/>
    <w:qFormat/>
    <w:uiPriority w:val="0"/>
    <w:pPr>
      <w:spacing w:line="240" w:lineRule="auto"/>
    </w:pPr>
    <w:rPr>
      <w:rFonts w:ascii="宋体" w:hAnsi="宋体"/>
      <w:iCs/>
    </w:rPr>
  </w:style>
  <w:style w:type="paragraph" w:customStyle="1" w:styleId="144">
    <w:name w:val="目录 41"/>
    <w:basedOn w:val="1"/>
    <w:next w:val="1"/>
    <w:autoRedefine/>
    <w:semiHidden/>
    <w:qFormat/>
    <w:uiPriority w:val="0"/>
    <w:pPr>
      <w:adjustRightInd/>
      <w:spacing w:line="240" w:lineRule="auto"/>
      <w:jc w:val="left"/>
    </w:pPr>
  </w:style>
  <w:style w:type="paragraph" w:customStyle="1" w:styleId="145">
    <w:name w:val="目录 51"/>
    <w:basedOn w:val="1"/>
    <w:next w:val="1"/>
    <w:autoRedefine/>
    <w:semiHidden/>
    <w:qFormat/>
    <w:uiPriority w:val="0"/>
    <w:pPr>
      <w:spacing w:line="240" w:lineRule="auto"/>
    </w:pPr>
    <w:rPr>
      <w:rFonts w:ascii="宋体" w:hAnsi="宋体"/>
    </w:rPr>
  </w:style>
  <w:style w:type="paragraph" w:customStyle="1" w:styleId="146">
    <w:name w:val="目录 61"/>
    <w:basedOn w:val="1"/>
    <w:next w:val="1"/>
    <w:autoRedefine/>
    <w:semiHidden/>
    <w:qFormat/>
    <w:uiPriority w:val="0"/>
    <w:pPr>
      <w:adjustRightInd/>
      <w:spacing w:line="240" w:lineRule="auto"/>
      <w:jc w:val="left"/>
    </w:pPr>
  </w:style>
  <w:style w:type="paragraph" w:customStyle="1" w:styleId="147">
    <w:name w:val="目录 71"/>
    <w:basedOn w:val="146"/>
    <w:autoRedefine/>
    <w:semiHidden/>
    <w:qFormat/>
    <w:uiPriority w:val="0"/>
    <w:pPr>
      <w:ind w:left="1260"/>
    </w:pPr>
  </w:style>
  <w:style w:type="paragraph" w:customStyle="1" w:styleId="148">
    <w:name w:val="目录 81"/>
    <w:basedOn w:val="147"/>
    <w:autoRedefine/>
    <w:semiHidden/>
    <w:qFormat/>
    <w:uiPriority w:val="0"/>
    <w:pPr>
      <w:ind w:left="1470"/>
    </w:pPr>
  </w:style>
  <w:style w:type="paragraph" w:customStyle="1" w:styleId="149">
    <w:name w:val="目录 91"/>
    <w:basedOn w:val="148"/>
    <w:autoRedefine/>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Lines="0" w:afterLines="0"/>
      <w:outlineLvl w:val="9"/>
    </w:pPr>
    <w:rPr>
      <w:rFonts w:ascii="宋体" w:eastAsia="宋体"/>
    </w:rPr>
  </w:style>
  <w:style w:type="paragraph" w:customStyle="1" w:styleId="163">
    <w:name w:val="标准文件_五级无标题"/>
    <w:basedOn w:val="103"/>
    <w:qFormat/>
    <w:uiPriority w:val="0"/>
    <w:pPr>
      <w:spacing w:beforeLines="0" w:afterLines="0"/>
      <w:outlineLvl w:val="9"/>
    </w:pPr>
    <w:rPr>
      <w:rFonts w:ascii="宋体" w:eastAsia="宋体"/>
    </w:rPr>
  </w:style>
  <w:style w:type="paragraph" w:customStyle="1" w:styleId="164">
    <w:name w:val="标准文件_三级无标题"/>
    <w:basedOn w:val="94"/>
    <w:qFormat/>
    <w:uiPriority w:val="0"/>
    <w:pPr>
      <w:spacing w:beforeLines="0" w:afterLines="0"/>
      <w:outlineLvl w:val="9"/>
    </w:pPr>
    <w:rPr>
      <w:rFonts w:ascii="宋体" w:eastAsia="宋体"/>
    </w:rPr>
  </w:style>
  <w:style w:type="paragraph" w:customStyle="1" w:styleId="165">
    <w:name w:val="标准文件_二级无标题"/>
    <w:basedOn w:val="65"/>
    <w:qFormat/>
    <w:uiPriority w:val="0"/>
    <w:pPr>
      <w:spacing w:beforeLines="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Lines="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qFormat/>
    <w:uiPriority w:val="0"/>
    <w:pPr>
      <w:framePr w:w="3997" w:h="471" w:hRule="exact" w:hSpace="0" w:vSpace="181" w:wrap="around" w:vAnchor="page" w:hAnchor="page" w:x="1419" w:y="14097"/>
    </w:pPr>
  </w:style>
  <w:style w:type="paragraph" w:customStyle="1" w:styleId="194">
    <w:name w:val="其他实施日期"/>
    <w:basedOn w:val="154"/>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Lines="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Lines="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Lines="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Lines="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Lines="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Lines="0" w:afterLines="0" w:line="276" w:lineRule="auto"/>
      <w:outlineLvl w:val="9"/>
    </w:pPr>
    <w:rPr>
      <w:rFonts w:ascii="宋体" w:eastAsia="宋体"/>
    </w:rPr>
  </w:style>
  <w:style w:type="paragraph" w:customStyle="1" w:styleId="212">
    <w:name w:val="标准文件_附录二级无标题"/>
    <w:basedOn w:val="79"/>
    <w:qFormat/>
    <w:uiPriority w:val="0"/>
    <w:pPr>
      <w:spacing w:beforeLines="0" w:afterLines="0" w:line="276" w:lineRule="auto"/>
      <w:outlineLvl w:val="9"/>
    </w:pPr>
    <w:rPr>
      <w:rFonts w:ascii="宋体" w:eastAsia="宋体"/>
    </w:rPr>
  </w:style>
  <w:style w:type="paragraph" w:customStyle="1" w:styleId="213">
    <w:name w:val="标准文件_附录三级无标题"/>
    <w:basedOn w:val="81"/>
    <w:qFormat/>
    <w:uiPriority w:val="0"/>
    <w:pPr>
      <w:spacing w:beforeLines="0" w:afterLines="0" w:line="276" w:lineRule="auto"/>
      <w:outlineLvl w:val="9"/>
    </w:pPr>
    <w:rPr>
      <w:rFonts w:ascii="宋体" w:eastAsia="宋体"/>
    </w:rPr>
  </w:style>
  <w:style w:type="paragraph" w:customStyle="1" w:styleId="214">
    <w:name w:val="标准文件_附录四级无标题"/>
    <w:basedOn w:val="82"/>
    <w:qFormat/>
    <w:uiPriority w:val="0"/>
    <w:pPr>
      <w:spacing w:beforeLines="0" w:afterLines="0" w:line="276" w:lineRule="auto"/>
      <w:outlineLvl w:val="9"/>
    </w:pPr>
    <w:rPr>
      <w:rFonts w:ascii="宋体" w:eastAsia="宋体"/>
    </w:rPr>
  </w:style>
  <w:style w:type="paragraph" w:customStyle="1" w:styleId="215">
    <w:name w:val="标准文件_附录五级无标题"/>
    <w:basedOn w:val="84"/>
    <w:qFormat/>
    <w:uiPriority w:val="0"/>
    <w:pPr>
      <w:spacing w:beforeLines="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Lines="0" w:afterLines="0" w:line="276" w:lineRule="auto"/>
    </w:pPr>
    <w:rPr>
      <w:rFonts w:ascii="宋体" w:eastAsia="宋体"/>
    </w:rPr>
  </w:style>
  <w:style w:type="paragraph" w:customStyle="1" w:styleId="217">
    <w:name w:val="标准文件_引言二级无标题"/>
    <w:basedOn w:val="201"/>
    <w:next w:val="56"/>
    <w:qFormat/>
    <w:uiPriority w:val="0"/>
    <w:pPr>
      <w:spacing w:beforeLines="0" w:afterLines="0" w:line="276" w:lineRule="auto"/>
    </w:pPr>
    <w:rPr>
      <w:rFonts w:ascii="宋体" w:eastAsia="宋体"/>
    </w:rPr>
  </w:style>
  <w:style w:type="paragraph" w:customStyle="1" w:styleId="218">
    <w:name w:val="标准文件_引言三级无标题"/>
    <w:basedOn w:val="202"/>
    <w:qFormat/>
    <w:uiPriority w:val="0"/>
    <w:pPr>
      <w:spacing w:beforeLines="0" w:afterLines="0" w:line="276" w:lineRule="auto"/>
    </w:pPr>
    <w:rPr>
      <w:rFonts w:ascii="宋体" w:eastAsia="宋体"/>
    </w:rPr>
  </w:style>
  <w:style w:type="paragraph" w:customStyle="1" w:styleId="219">
    <w:name w:val="标准文件_引言四级无标题"/>
    <w:basedOn w:val="203"/>
    <w:next w:val="56"/>
    <w:qFormat/>
    <w:uiPriority w:val="0"/>
    <w:pPr>
      <w:spacing w:beforeLines="0" w:afterLines="0" w:line="276" w:lineRule="auto"/>
    </w:pPr>
    <w:rPr>
      <w:rFonts w:ascii="宋体" w:eastAsia="宋体"/>
    </w:rPr>
  </w:style>
  <w:style w:type="paragraph" w:customStyle="1" w:styleId="220">
    <w:name w:val="标准文件_引言五级无标题"/>
    <w:basedOn w:val="204"/>
    <w:next w:val="56"/>
    <w:qFormat/>
    <w:uiPriority w:val="0"/>
    <w:pPr>
      <w:spacing w:beforeLines="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 w:type="table" w:customStyle="1" w:styleId="230">
    <w:name w:val="网格型1"/>
    <w:basedOn w:val="26"/>
    <w:qFormat/>
    <w:uiPriority w:val="99"/>
    <w:rPr>
      <w:rFonts w:ascii="Times New Roman" w:hAnsi="Times New Roman"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231">
    <w:name w:val="网格型2"/>
    <w:basedOn w:val="26"/>
    <w:qFormat/>
    <w:uiPriority w:val="99"/>
    <w:rPr>
      <w:rFonts w:ascii="Times New Roman" w:hAnsi="Times New Roman"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232">
    <w:name w:val="网格型3"/>
    <w:basedOn w:val="26"/>
    <w:qFormat/>
    <w:uiPriority w:val="99"/>
    <w:rPr>
      <w:rFonts w:ascii="Times New Roman" w:hAnsi="Times New Roman"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glossaryDocument" Target="glossary/document.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4.jpe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tiff"/><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67EB5A711DDC4860B0547BCE91A2D44B"/>
        <w:style w:val=""/>
        <w:category>
          <w:name w:val="常规"/>
          <w:gallery w:val="placeholder"/>
        </w:category>
        <w:types>
          <w:type w:val="bbPlcHdr"/>
        </w:types>
        <w:behaviors>
          <w:behavior w:val="content"/>
        </w:behaviors>
        <w:description w:val=""/>
        <w:guid w:val="{54E04F8B-E6B4-46DF-98C5-2D6487F4ADE2}"/>
      </w:docPartPr>
      <w:docPartBody>
        <w:p w14:paraId="5F5881C5">
          <w:pPr>
            <w:pStyle w:val="5"/>
          </w:pPr>
          <w:r>
            <w:rPr>
              <w:rStyle w:val="4"/>
              <w:rFonts w:hint="eastAsia"/>
            </w:rPr>
            <w:t>单击或点击此处输入文字。</w:t>
          </w:r>
        </w:p>
      </w:docPartBody>
    </w:docPart>
    <w:docPart>
      <w:docPartPr>
        <w:name w:val="A4B3085565F04B8584201099CC0C74B3"/>
        <w:style w:val=""/>
        <w:category>
          <w:name w:val="常规"/>
          <w:gallery w:val="placeholder"/>
        </w:category>
        <w:types>
          <w:type w:val="bbPlcHdr"/>
        </w:types>
        <w:behaviors>
          <w:behavior w:val="content"/>
        </w:behaviors>
        <w:description w:val=""/>
        <w:guid w:val="{42FDC574-1D2F-44B7-A065-D3D91B4C6BF3}"/>
      </w:docPartPr>
      <w:docPartBody>
        <w:p w14:paraId="075A298A">
          <w:pPr>
            <w:pStyle w:val="6"/>
          </w:pPr>
          <w:r>
            <w:rPr>
              <w:rStyle w:val="4"/>
              <w:rFonts w:hint="eastAsia"/>
            </w:rPr>
            <w:t>选择一项。</w:t>
          </w:r>
        </w:p>
      </w:docPartBody>
    </w:docPart>
    <w:docPart>
      <w:docPartPr>
        <w:name w:val="21FDD3E3EC794080BF60503C1F1289CC"/>
        <w:style w:val=""/>
        <w:category>
          <w:name w:val="常规"/>
          <w:gallery w:val="placeholder"/>
        </w:category>
        <w:types>
          <w:type w:val="bbPlcHdr"/>
        </w:types>
        <w:behaviors>
          <w:behavior w:val="content"/>
        </w:behaviors>
        <w:description w:val=""/>
        <w:guid w:val="{9CE26CF5-14F9-4142-AD0F-B5846170DA47}"/>
      </w:docPartPr>
      <w:docPartBody>
        <w:p w14:paraId="68A06DDA">
          <w:pPr>
            <w:pStyle w:val="7"/>
          </w:pPr>
          <w:r>
            <w:rPr>
              <w:rStyle w:val="4"/>
              <w:rFonts w:hint="eastAsia"/>
            </w:rPr>
            <w:t>选择一项。</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roman"/>
    <w:pitch w:val="default"/>
    <w:sig w:usb0="A00002BF" w:usb1="38CF7CFA" w:usb2="00000016" w:usb3="00000000" w:csb0="0004000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
  <w:rsids>
    <w:rsidRoot w:val="00B36CD1"/>
    <w:rsid w:val="00031289"/>
    <w:rsid w:val="00112EF8"/>
    <w:rsid w:val="0021248F"/>
    <w:rsid w:val="002B5304"/>
    <w:rsid w:val="00406285"/>
    <w:rsid w:val="00AF044A"/>
    <w:rsid w:val="00B36CD1"/>
    <w:rsid w:val="00C2579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67EB5A711DDC4860B0547BCE91A2D44B"/>
    <w:qFormat/>
    <w:uiPriority w:val="0"/>
    <w:pPr>
      <w:widowControl w:val="0"/>
      <w:spacing w:after="160" w:line="278" w:lineRule="auto"/>
    </w:pPr>
    <w:rPr>
      <w:rFonts w:asciiTheme="minorHAnsi" w:hAnsiTheme="minorHAnsi" w:eastAsiaTheme="minorEastAsia" w:cstheme="minorBidi"/>
      <w:kern w:val="2"/>
      <w:sz w:val="22"/>
      <w:szCs w:val="24"/>
      <w:lang w:val="en-US" w:eastAsia="zh-CN" w:bidi="ar-SA"/>
    </w:rPr>
  </w:style>
  <w:style w:type="paragraph" w:customStyle="1" w:styleId="6">
    <w:name w:val="A4B3085565F04B8584201099CC0C74B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rPr>
  </w:style>
  <w:style w:type="paragraph" w:customStyle="1" w:styleId="7">
    <w:name w:val="21FDD3E3EC794080BF60503C1F1289CC"/>
    <w:qFormat/>
    <w:uiPriority w:val="0"/>
    <w:pPr>
      <w:widowControl w:val="0"/>
      <w:spacing w:after="160" w:line="278" w:lineRule="auto"/>
    </w:pPr>
    <w:rPr>
      <w:rFonts w:asciiTheme="minorHAnsi" w:hAnsiTheme="minorHAnsi" w:eastAsiaTheme="minorEastAsia" w:cstheme="minorBidi"/>
      <w:kern w:val="2"/>
      <w:sz w:val="22"/>
      <w:szCs w:val="24"/>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2F6AF2A-B09B-4D19-B3D2-38229E18B324}">
  <ds:schemaRefs/>
</ds:datastoreItem>
</file>

<file path=docProps/app.xml><?xml version="1.0" encoding="utf-8"?>
<Properties xmlns="http://schemas.openxmlformats.org/officeDocument/2006/extended-properties" xmlns:vt="http://schemas.openxmlformats.org/officeDocument/2006/docPropsVTypes">
  <Template>地方标准.dotx</Template>
  <Company>PCMI</Company>
  <Pages>11</Pages>
  <Words>3526</Words>
  <Characters>4244</Characters>
  <Lines>48</Lines>
  <Paragraphs>13</Paragraphs>
  <TotalTime>5</TotalTime>
  <ScaleCrop>false</ScaleCrop>
  <LinksUpToDate>false</LinksUpToDate>
  <CharactersWithSpaces>4352</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2025-05-03T13:11:00Z</dcterms:created>
  <dc:creator>www99</dc:creator>
  <dc:description>&lt;config cover="true" show_menu="true" version="1.0.0" doctype="SDKXY"&gt;_x000d_
&lt;/config&gt;</dc:description>
  <cp:lastModifiedBy>吕娅妮</cp:lastModifiedBy>
  <cp:lastPrinted>2020-08-30T10:00:00Z</cp:lastPrinted>
  <dcterms:modified xsi:type="dcterms:W3CDTF">2026-05-07T03:43:45Z</dcterms:modified>
  <dc:title>地方标准</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eyJoZGlkIjoiMDNmZTQ3NjVjMTFiYzhhOTAxMTM5Y2RjMTRjZGJhZGUiLCJ1c2VySWQiOiIxNjc0Mzc1ODE4In0=</vt:lpwstr>
  </property>
  <property fmtid="{D5CDD505-2E9C-101B-9397-08002B2CF9AE}" pid="15" name="KSOProductBuildVer">
    <vt:lpwstr>2052-12.1.0.25225</vt:lpwstr>
  </property>
  <property fmtid="{D5CDD505-2E9C-101B-9397-08002B2CF9AE}" pid="16" name="ICV">
    <vt:lpwstr>8267211AC477470081AAE07E2F39E36E_13</vt:lpwstr>
  </property>
</Properties>
</file>