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《艾滋病病毒非职业暴露后预防门诊管理技术规范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1B773E7"/>
    <w:rsid w:val="18BF69B5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于浩淼</cp:lastModifiedBy>
  <dcterms:modified xsi:type="dcterms:W3CDTF">2026-04-27T05:26:37Z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CCBE4689FE0D42A4A35825F0C67A86F7_13</vt:lpwstr>
  </property>
  <property fmtid="{D5CDD505-2E9C-101B-9397-08002B2CF9AE}" pid="4" name="KSOTemplateDocerSaveRecord">
    <vt:lpwstr>eyJoZGlkIjoiMzEwNTM5NzYwMDRjMzkwZTVkZjY2ODkwMGIxNGU0OTUiLCJ1c2VySWQiOiIxNjU3NzE4MjUzIn0=</vt:lpwstr>
  </property>
</Properties>
</file>