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07212">
      <w:pPr>
        <w:pStyle w:val="12"/>
        <w:kinsoku w:val="0"/>
        <w:overflowPunct w:val="0"/>
        <w:spacing w:beforeLines="0" w:afterLines="0"/>
        <w:ind w:left="86"/>
        <w:jc w:val="center"/>
        <w:rPr>
          <w:rFonts w:ascii="黑体" w:hAnsi="黑体" w:eastAsia="黑体" w:cs="黑体"/>
          <w:color w:val="000000"/>
          <w:sz w:val="28"/>
        </w:rPr>
      </w:pPr>
    </w:p>
    <w:p w14:paraId="0778330D">
      <w:pPr>
        <w:pStyle w:val="12"/>
        <w:kinsoku w:val="0"/>
        <w:overflowPunct w:val="0"/>
        <w:spacing w:beforeLines="0" w:afterLines="0"/>
        <w:ind w:left="86"/>
        <w:jc w:val="center"/>
        <w:rPr>
          <w:rFonts w:ascii="黑体" w:hAnsi="黑体" w:eastAsia="黑体" w:cs="黑体"/>
          <w:color w:val="000000"/>
          <w:sz w:val="28"/>
        </w:rPr>
      </w:pPr>
    </w:p>
    <w:p w14:paraId="5B8F78CF">
      <w:pPr>
        <w:pStyle w:val="12"/>
        <w:kinsoku w:val="0"/>
        <w:overflowPunct w:val="0"/>
        <w:spacing w:beforeLines="0" w:afterLines="0"/>
        <w:ind w:left="86"/>
        <w:jc w:val="center"/>
        <w:rPr>
          <w:rFonts w:ascii="黑体" w:hAnsi="黑体" w:eastAsia="黑体" w:cs="黑体"/>
          <w:color w:val="000000"/>
          <w:sz w:val="28"/>
        </w:rPr>
      </w:pPr>
    </w:p>
    <w:p w14:paraId="103D8B02">
      <w:pPr>
        <w:pStyle w:val="12"/>
        <w:kinsoku w:val="0"/>
        <w:overflowPunct w:val="0"/>
        <w:spacing w:beforeLines="0" w:afterLines="0"/>
        <w:ind w:left="86"/>
        <w:jc w:val="center"/>
        <w:rPr>
          <w:rFonts w:hint="eastAsia" w:ascii="黑体" w:hAnsi="黑体" w:eastAsia="黑体"/>
          <w:sz w:val="52"/>
          <w:szCs w:val="24"/>
        </w:rPr>
      </w:pPr>
    </w:p>
    <w:p w14:paraId="4C3B71CE">
      <w:pPr>
        <w:pStyle w:val="12"/>
        <w:kinsoku w:val="0"/>
        <w:overflowPunct w:val="0"/>
        <w:spacing w:beforeLines="0" w:afterLines="0"/>
        <w:ind w:left="86"/>
        <w:jc w:val="center"/>
        <w:rPr>
          <w:rFonts w:hint="eastAsia" w:ascii="黑体" w:hAnsi="黑体" w:eastAsia="黑体"/>
          <w:sz w:val="52"/>
          <w:szCs w:val="24"/>
        </w:rPr>
      </w:pPr>
    </w:p>
    <w:p w14:paraId="38ED8B5C">
      <w:pPr>
        <w:pStyle w:val="12"/>
        <w:kinsoku w:val="0"/>
        <w:overflowPunct w:val="0"/>
        <w:spacing w:beforeLines="0" w:afterLines="0"/>
        <w:ind w:left="86"/>
        <w:jc w:val="center"/>
        <w:rPr>
          <w:rFonts w:hint="eastAsia" w:ascii="黑体" w:hAnsi="黑体" w:eastAsia="黑体"/>
          <w:sz w:val="52"/>
          <w:szCs w:val="24"/>
        </w:rPr>
      </w:pPr>
    </w:p>
    <w:p w14:paraId="2FDADD5F">
      <w:pPr>
        <w:pStyle w:val="12"/>
        <w:kinsoku w:val="0"/>
        <w:overflowPunct w:val="0"/>
        <w:spacing w:beforeLines="0" w:afterLines="0"/>
        <w:ind w:left="86"/>
        <w:jc w:val="center"/>
        <w:rPr>
          <w:rFonts w:hint="eastAsia" w:ascii="黑体" w:hAnsi="黑体" w:eastAsia="黑体"/>
          <w:sz w:val="52"/>
          <w:szCs w:val="24"/>
        </w:rPr>
      </w:pPr>
      <w:r>
        <w:rPr>
          <w:rFonts w:hint="eastAsia" w:ascii="黑体" w:hAnsi="黑体" w:eastAsia="黑体"/>
          <w:sz w:val="52"/>
          <w:szCs w:val="24"/>
        </w:rPr>
        <w:t>辽宁省中小学生健康监测技术规范</w:t>
      </w:r>
    </w:p>
    <w:p w14:paraId="119B6945">
      <w:pPr>
        <w:pStyle w:val="12"/>
        <w:kinsoku w:val="0"/>
        <w:overflowPunct w:val="0"/>
        <w:spacing w:before="392" w:beforeLines="0" w:afterLines="0"/>
        <w:ind w:left="112"/>
        <w:jc w:val="center"/>
        <w:rPr>
          <w:rFonts w:hint="eastAsia" w:ascii="黑体" w:hAnsi="黑体" w:eastAsia="黑体" w:cs="黑体"/>
          <w:sz w:val="28"/>
          <w:szCs w:val="24"/>
        </w:rPr>
      </w:pPr>
      <w:r>
        <w:rPr>
          <w:rFonts w:hint="eastAsia" w:ascii="黑体" w:hAnsi="黑体" w:eastAsia="黑体" w:cs="黑体"/>
          <w:sz w:val="28"/>
          <w:szCs w:val="24"/>
        </w:rPr>
        <w:t xml:space="preserve">Technical specifications for health surveillance of </w:t>
      </w:r>
      <w:r>
        <w:rPr>
          <w:rFonts w:hint="eastAsia" w:ascii="黑体" w:hAnsi="黑体" w:eastAsia="黑体" w:cs="黑体"/>
          <w:sz w:val="28"/>
          <w:szCs w:val="24"/>
          <w:lang w:val="en-US" w:eastAsia="zh-CN"/>
        </w:rPr>
        <w:t xml:space="preserve">primary and secondary </w:t>
      </w:r>
      <w:r>
        <w:rPr>
          <w:rFonts w:hint="eastAsia" w:ascii="黑体" w:hAnsi="黑体" w:eastAsia="黑体" w:cs="黑体"/>
          <w:sz w:val="28"/>
          <w:szCs w:val="24"/>
        </w:rPr>
        <w:t>school students in Liaoning Province</w:t>
      </w:r>
    </w:p>
    <w:p w14:paraId="654AC65C">
      <w:pPr>
        <w:pStyle w:val="12"/>
        <w:kinsoku w:val="0"/>
        <w:overflowPunct w:val="0"/>
        <w:spacing w:before="392" w:beforeLines="0" w:afterLines="0"/>
        <w:ind w:left="112"/>
        <w:jc w:val="center"/>
        <w:rPr>
          <w:rFonts w:hint="eastAsia" w:ascii="Times New Roman" w:hAnsi="Times New Roman" w:eastAsia="Times New Roman"/>
          <w:sz w:val="28"/>
          <w:szCs w:val="24"/>
        </w:rPr>
      </w:pPr>
    </w:p>
    <w:p w14:paraId="235B6784">
      <w:pPr>
        <w:pStyle w:val="12"/>
        <w:kinsoku w:val="0"/>
        <w:overflowPunct w:val="0"/>
        <w:spacing w:beforeLines="0" w:afterLines="0"/>
        <w:rPr>
          <w:rFonts w:hint="default" w:ascii="Times New Roman" w:hAnsi="Times New Roman" w:eastAsia="Times New Roman"/>
          <w:sz w:val="30"/>
          <w:szCs w:val="24"/>
        </w:rPr>
      </w:pPr>
    </w:p>
    <w:p w14:paraId="3D7E2440">
      <w:pPr>
        <w:pStyle w:val="12"/>
        <w:kinsoku w:val="0"/>
        <w:overflowPunct w:val="0"/>
        <w:spacing w:before="9" w:beforeLines="0" w:afterLines="0"/>
        <w:rPr>
          <w:rFonts w:hint="default" w:ascii="Times New Roman" w:hAnsi="Times New Roman" w:eastAsia="Times New Roman"/>
          <w:sz w:val="37"/>
          <w:szCs w:val="24"/>
        </w:rPr>
      </w:pPr>
    </w:p>
    <w:p w14:paraId="43BDD969">
      <w:pPr>
        <w:pStyle w:val="12"/>
        <w:kinsoku w:val="0"/>
        <w:overflowPunct w:val="0"/>
        <w:spacing w:before="2" w:beforeLines="0" w:afterLines="0"/>
        <w:rPr>
          <w:rFonts w:hint="default" w:ascii="Times New Roman" w:hAnsi="Times New Roman" w:eastAsia="Times New Roman"/>
          <w:sz w:val="42"/>
          <w:szCs w:val="24"/>
        </w:rPr>
      </w:pPr>
    </w:p>
    <w:p w14:paraId="5FB0DC6A">
      <w:pPr>
        <w:pStyle w:val="12"/>
        <w:kinsoku w:val="0"/>
        <w:overflowPunct w:val="0"/>
        <w:spacing w:before="1" w:beforeLines="0" w:afterLines="0"/>
        <w:ind w:left="84"/>
        <w:jc w:val="center"/>
        <w:rPr>
          <w:rFonts w:hint="eastAsia"/>
          <w:sz w:val="32"/>
          <w:szCs w:val="24"/>
        </w:rPr>
      </w:pPr>
      <w:bookmarkStart w:id="5" w:name="_GoBack"/>
      <w:bookmarkEnd w:id="5"/>
      <w:r>
        <w:rPr>
          <w:rFonts w:hint="eastAsia" w:ascii="黑体" w:hAnsi="黑体" w:eastAsia="黑体" w:cs="黑体"/>
          <w:sz w:val="28"/>
          <w:szCs w:val="24"/>
        </w:rPr>
        <w:t>（</w:t>
      </w:r>
      <w:r>
        <w:rPr>
          <w:rFonts w:hint="eastAsia" w:ascii="黑体" w:hAnsi="黑体" w:eastAsia="黑体" w:cs="黑体"/>
          <w:sz w:val="28"/>
          <w:szCs w:val="24"/>
          <w:lang w:val="en-US" w:eastAsia="zh-CN"/>
        </w:rPr>
        <w:t>草案</w:t>
      </w:r>
      <w:r>
        <w:rPr>
          <w:rFonts w:hint="eastAsia" w:ascii="黑体" w:hAnsi="黑体" w:eastAsia="黑体" w:cs="黑体"/>
          <w:sz w:val="28"/>
          <w:szCs w:val="24"/>
        </w:rPr>
        <w:t>）</w:t>
      </w:r>
      <w:r>
        <w:rPr>
          <w:rFonts w:hint="eastAsia"/>
          <w:sz w:val="24"/>
          <w:szCs w:val="24"/>
        </w:rPr>
        <w:br w:type="page"/>
      </w:r>
      <w:r>
        <w:rPr>
          <w:rFonts w:hint="eastAsia" w:ascii="黑体" w:hAnsi="黑体" w:eastAsia="黑体" w:cs="黑体"/>
          <w:sz w:val="32"/>
          <w:szCs w:val="24"/>
        </w:rPr>
        <w:t>前</w:t>
      </w:r>
      <w:r>
        <w:rPr>
          <w:rFonts w:hint="eastAsia" w:ascii="黑体" w:hAnsi="黑体" w:eastAsia="黑体" w:cs="黑体"/>
          <w:sz w:val="32"/>
          <w:szCs w:val="24"/>
          <w:lang w:val="en-US" w:eastAsia="zh-CN"/>
        </w:rPr>
        <w:t xml:space="preserve"> </w:t>
      </w:r>
      <w:r>
        <w:rPr>
          <w:rFonts w:hint="eastAsia" w:ascii="黑体" w:hAnsi="黑体" w:eastAsia="黑体" w:cs="黑体"/>
          <w:sz w:val="32"/>
          <w:szCs w:val="24"/>
        </w:rPr>
        <w:t>言</w:t>
      </w:r>
    </w:p>
    <w:p w14:paraId="7865F49A">
      <w:pPr>
        <w:snapToGrid w:val="0"/>
        <w:spacing w:line="288" w:lineRule="auto"/>
        <w:ind w:firstLine="440" w:firstLineChars="200"/>
        <w:jc w:val="both"/>
        <w:rPr>
          <w:rFonts w:hint="eastAsia" w:cs="宋体"/>
          <w:color w:val="000000"/>
          <w:szCs w:val="22"/>
        </w:rPr>
      </w:pPr>
    </w:p>
    <w:p w14:paraId="202ED6F4">
      <w:pPr>
        <w:snapToGrid w:val="0"/>
        <w:spacing w:line="288" w:lineRule="auto"/>
        <w:ind w:firstLine="440" w:firstLineChars="200"/>
        <w:jc w:val="both"/>
        <w:rPr>
          <w:rFonts w:hint="eastAsia" w:cs="宋体"/>
          <w:color w:val="000000"/>
          <w:szCs w:val="22"/>
        </w:rPr>
      </w:pPr>
    </w:p>
    <w:p w14:paraId="632E31CD">
      <w:pPr>
        <w:snapToGrid w:val="0"/>
        <w:spacing w:line="288" w:lineRule="auto"/>
        <w:ind w:firstLine="420" w:firstLineChars="200"/>
        <w:jc w:val="both"/>
        <w:rPr>
          <w:rFonts w:hint="eastAsia" w:cs="宋体"/>
          <w:color w:val="000000"/>
          <w:sz w:val="21"/>
          <w:szCs w:val="21"/>
        </w:rPr>
      </w:pPr>
      <w:r>
        <w:rPr>
          <w:rFonts w:hint="eastAsia" w:cs="宋体"/>
          <w:color w:val="000000"/>
          <w:sz w:val="21"/>
          <w:szCs w:val="21"/>
        </w:rPr>
        <w:t>本文件按照GB/T 1.1—2020《标准化工作导则</w:t>
      </w:r>
      <w:r>
        <w:rPr>
          <w:rFonts w:hint="eastAsia" w:cs="宋体"/>
          <w:color w:val="000000"/>
          <w:sz w:val="21"/>
          <w:szCs w:val="21"/>
          <w:lang w:val="en-US" w:eastAsia="zh-CN"/>
        </w:rPr>
        <w:t xml:space="preserve"> </w:t>
      </w:r>
      <w:r>
        <w:rPr>
          <w:rFonts w:hint="eastAsia" w:cs="宋体"/>
          <w:color w:val="000000"/>
          <w:sz w:val="21"/>
          <w:szCs w:val="21"/>
        </w:rPr>
        <w:t>第1部分：标准化文件的结构和起草规则》的规定起草。</w:t>
      </w:r>
    </w:p>
    <w:p w14:paraId="0C2A12E9">
      <w:pPr>
        <w:snapToGrid w:val="0"/>
        <w:spacing w:line="288" w:lineRule="auto"/>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本文件由辽宁省</w:t>
      </w:r>
      <w:r>
        <w:rPr>
          <w:rFonts w:hint="default" w:cs="宋体"/>
          <w:color w:val="000000"/>
          <w:sz w:val="21"/>
          <w:szCs w:val="21"/>
          <w:lang w:val="en-US" w:eastAsia="zh-CN"/>
        </w:rPr>
        <w:t>卫生健康委员</w:t>
      </w:r>
      <w:r>
        <w:rPr>
          <w:rFonts w:hint="eastAsia" w:cs="宋体"/>
          <w:color w:val="000000"/>
          <w:sz w:val="21"/>
          <w:szCs w:val="21"/>
          <w:lang w:val="en-US" w:eastAsia="zh-CN"/>
        </w:rPr>
        <w:t>会提出并归口。</w:t>
      </w:r>
    </w:p>
    <w:p w14:paraId="008B7074">
      <w:pPr>
        <w:snapToGrid w:val="0"/>
        <w:spacing w:line="288" w:lineRule="auto"/>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本文件起草单位：辽宁省疾病预防控制中心。</w:t>
      </w:r>
    </w:p>
    <w:p w14:paraId="27869E82">
      <w:pPr>
        <w:snapToGrid w:val="0"/>
        <w:spacing w:line="288" w:lineRule="auto"/>
        <w:ind w:firstLine="420" w:firstLineChars="200"/>
        <w:jc w:val="both"/>
        <w:rPr>
          <w:rFonts w:hint="eastAsia" w:cs="宋体"/>
          <w:color w:val="000000"/>
          <w:sz w:val="21"/>
          <w:szCs w:val="21"/>
          <w:lang w:val="en-US" w:eastAsia="zh-CN"/>
        </w:rPr>
      </w:pPr>
      <w:r>
        <w:rPr>
          <w:rFonts w:hint="eastAsia" w:cs="宋体"/>
          <w:color w:val="000000"/>
          <w:sz w:val="21"/>
          <w:szCs w:val="21"/>
          <w:lang w:val="en-US" w:eastAsia="zh-CN"/>
        </w:rPr>
        <w:t>本文件主要起草人：吴明、叶茜雯、孙英伟、丛龙娟、刘家起、王国辉、周欣琳、任航、曾倩、陈荟栩、孙宇欣。</w:t>
      </w:r>
    </w:p>
    <w:p w14:paraId="527513CE">
      <w:pPr>
        <w:snapToGrid w:val="0"/>
        <w:spacing w:line="288" w:lineRule="auto"/>
        <w:ind w:firstLine="420" w:firstLineChars="200"/>
        <w:jc w:val="both"/>
        <w:rPr>
          <w:rFonts w:hint="default" w:cs="宋体"/>
          <w:color w:val="000000"/>
          <w:sz w:val="21"/>
          <w:szCs w:val="21"/>
          <w:lang w:val="en-US" w:eastAsia="zh-CN"/>
        </w:rPr>
      </w:pPr>
      <w:r>
        <w:rPr>
          <w:rFonts w:hint="eastAsia" w:cs="宋体"/>
          <w:color w:val="000000"/>
          <w:sz w:val="21"/>
          <w:szCs w:val="21"/>
          <w:lang w:val="en-US" w:eastAsia="zh-CN"/>
        </w:rPr>
        <w:t>归口管理部门通讯地址：辽宁省沈阳市和平区太原北街2号，联系电话：024-</w:t>
      </w:r>
      <w:r>
        <w:rPr>
          <w:rFonts w:hint="default" w:cs="宋体"/>
          <w:color w:val="000000"/>
          <w:sz w:val="21"/>
          <w:szCs w:val="21"/>
          <w:lang w:val="en-US" w:eastAsia="zh-CN"/>
        </w:rPr>
        <w:t>23991029</w:t>
      </w:r>
    </w:p>
    <w:p w14:paraId="1B924FAB">
      <w:pPr>
        <w:snapToGrid w:val="0"/>
        <w:spacing w:line="288" w:lineRule="auto"/>
        <w:ind w:firstLine="420" w:firstLineChars="200"/>
        <w:jc w:val="both"/>
        <w:rPr>
          <w:rFonts w:hint="eastAsia" w:cs="宋体"/>
          <w:color w:val="000000"/>
          <w:sz w:val="21"/>
          <w:szCs w:val="21"/>
        </w:rPr>
      </w:pPr>
      <w:r>
        <w:rPr>
          <w:rFonts w:hint="eastAsia" w:cs="宋体"/>
          <w:color w:val="000000"/>
          <w:sz w:val="21"/>
          <w:szCs w:val="21"/>
          <w:lang w:val="en-US" w:eastAsia="zh-CN"/>
        </w:rPr>
        <w:t>文件起草单位通讯地址：辽宁省沈阳市浑南区金枫街168号，联系电话：024-23373102</w:t>
      </w:r>
    </w:p>
    <w:p w14:paraId="2FE0CC5A">
      <w:pPr>
        <w:pStyle w:val="12"/>
        <w:kinsoku w:val="0"/>
        <w:overflowPunct w:val="0"/>
        <w:spacing w:before="1" w:beforeLines="0" w:afterLines="0"/>
        <w:ind w:left="84"/>
        <w:jc w:val="center"/>
        <w:rPr>
          <w:rFonts w:hint="eastAsia"/>
          <w:sz w:val="24"/>
          <w:szCs w:val="24"/>
        </w:rPr>
      </w:pPr>
    </w:p>
    <w:p w14:paraId="3AE7A107">
      <w:pPr>
        <w:rPr>
          <w:rFonts w:ascii="黑体" w:hAnsi="黑体" w:eastAsia="黑体" w:cs="黑体"/>
          <w:color w:val="000000"/>
          <w:sz w:val="28"/>
        </w:rPr>
      </w:pPr>
    </w:p>
    <w:p w14:paraId="1B31DE79">
      <w:pPr>
        <w:ind w:firstLine="560" w:firstLineChars="200"/>
        <w:jc w:val="center"/>
        <w:rPr>
          <w:rFonts w:ascii="黑体" w:hAnsi="黑体" w:eastAsia="黑体" w:cs="黑体"/>
          <w:color w:val="000000"/>
          <w:sz w:val="28"/>
        </w:rPr>
        <w:sectPr>
          <w:footerReference r:id="rId3" w:type="default"/>
          <w:pgSz w:w="11911" w:h="16838"/>
          <w:pgMar w:top="1440" w:right="1800" w:bottom="1440" w:left="1800" w:header="1451" w:footer="1140" w:gutter="0"/>
          <w:cols w:space="0" w:num="1"/>
          <w:docGrid w:linePitch="299" w:charSpace="0"/>
        </w:sectPr>
      </w:pPr>
    </w:p>
    <w:p w14:paraId="361BC5B2">
      <w:pPr>
        <w:ind w:firstLine="640" w:firstLineChars="200"/>
        <w:jc w:val="center"/>
        <w:rPr>
          <w:rFonts w:hint="default" w:ascii="黑体" w:hAnsi="黑体" w:eastAsia="黑体" w:cs="黑体"/>
          <w:color w:val="000000"/>
          <w:sz w:val="32"/>
          <w:szCs w:val="28"/>
        </w:rPr>
      </w:pPr>
      <w:r>
        <w:rPr>
          <w:rFonts w:ascii="黑体" w:hAnsi="黑体" w:eastAsia="黑体" w:cs="黑体"/>
          <w:color w:val="000000"/>
          <w:sz w:val="32"/>
          <w:szCs w:val="28"/>
        </w:rPr>
        <w:t>辽宁省中小学生健康监测技术规范</w:t>
      </w:r>
    </w:p>
    <w:p w14:paraId="4D137AED">
      <w:pPr>
        <w:pStyle w:val="12"/>
        <w:kinsoku w:val="0"/>
        <w:overflowPunct w:val="0"/>
        <w:jc w:val="both"/>
        <w:rPr>
          <w:rFonts w:hint="default" w:ascii="黑体" w:hAnsi="黑体" w:eastAsia="黑体"/>
          <w:sz w:val="22"/>
          <w:szCs w:val="22"/>
        </w:rPr>
      </w:pPr>
    </w:p>
    <w:p w14:paraId="0F17BC2E">
      <w:pPr>
        <w:pStyle w:val="12"/>
        <w:kinsoku w:val="0"/>
        <w:overflowPunct w:val="0"/>
        <w:spacing w:before="11"/>
        <w:jc w:val="both"/>
        <w:rPr>
          <w:rFonts w:hint="default" w:ascii="黑体" w:hAnsi="黑体" w:eastAsia="黑体"/>
          <w:sz w:val="22"/>
          <w:szCs w:val="22"/>
        </w:rPr>
      </w:pPr>
    </w:p>
    <w:p w14:paraId="1195E427">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20" w:after="120" w:line="240" w:lineRule="auto"/>
        <w:ind w:left="0" w:leftChars="0" w:firstLine="0" w:firstLineChars="0"/>
        <w:jc w:val="both"/>
        <w:textAlignment w:val="auto"/>
        <w:rPr>
          <w:rFonts w:hint="default"/>
          <w:sz w:val="21"/>
          <w:szCs w:val="21"/>
        </w:rPr>
      </w:pPr>
      <w:bookmarkStart w:id="0" w:name="1_范围"/>
      <w:bookmarkEnd w:id="0"/>
      <w:r>
        <w:rPr>
          <w:rFonts w:hint="eastAsia" w:cs="黑体"/>
          <w:sz w:val="21"/>
          <w:szCs w:val="21"/>
          <w:lang w:val="en-US" w:eastAsia="zh-CN" w:bidi="ar-SA"/>
        </w:rPr>
        <w:t xml:space="preserve">1 </w:t>
      </w:r>
      <w:r>
        <w:rPr>
          <w:sz w:val="21"/>
          <w:szCs w:val="21"/>
        </w:rPr>
        <w:t>范围</w:t>
      </w:r>
    </w:p>
    <w:p w14:paraId="22748BAA">
      <w:pPr>
        <w:keepNext w:val="0"/>
        <w:keepLines w:val="0"/>
        <w:pageBreakBefore w:val="0"/>
        <w:widowControl w:val="0"/>
        <w:kinsoku/>
        <w:wordWrap/>
        <w:overflowPunct/>
        <w:topLinePunct w:val="0"/>
        <w:autoSpaceDE w:val="0"/>
        <w:autoSpaceDN w:val="0"/>
        <w:bidi w:val="0"/>
        <w:adjustRightInd w:val="0"/>
        <w:snapToGrid w:val="0"/>
        <w:spacing w:line="240" w:lineRule="auto"/>
        <w:ind w:firstLine="420" w:firstLineChars="200"/>
        <w:jc w:val="both"/>
        <w:textAlignment w:val="auto"/>
        <w:rPr>
          <w:rFonts w:hint="default" w:cs="宋体"/>
          <w:color w:val="000000"/>
          <w:sz w:val="21"/>
          <w:szCs w:val="21"/>
        </w:rPr>
      </w:pPr>
      <w:r>
        <w:rPr>
          <w:rFonts w:cs="宋体"/>
          <w:color w:val="000000"/>
          <w:sz w:val="21"/>
          <w:szCs w:val="21"/>
        </w:rPr>
        <w:t>本文件规定了辽宁省中小学生健康监测的监测内容、</w:t>
      </w:r>
      <w:r>
        <w:rPr>
          <w:rFonts w:hint="eastAsia" w:cs="宋体"/>
          <w:color w:val="000000"/>
          <w:sz w:val="21"/>
          <w:szCs w:val="21"/>
          <w:lang w:val="en-US" w:eastAsia="zh-CN"/>
        </w:rPr>
        <w:t>监测</w:t>
      </w:r>
      <w:r>
        <w:rPr>
          <w:rFonts w:cs="宋体"/>
          <w:color w:val="000000"/>
          <w:sz w:val="21"/>
          <w:szCs w:val="21"/>
        </w:rPr>
        <w:t>要求、监测项目及方法、质量控制要求、卫生应急要求、传染病及感染防控要求和隐私保护要求。</w:t>
      </w:r>
    </w:p>
    <w:p w14:paraId="6665EB2A">
      <w:pPr>
        <w:keepNext w:val="0"/>
        <w:keepLines w:val="0"/>
        <w:pageBreakBefore w:val="0"/>
        <w:widowControl w:val="0"/>
        <w:kinsoku/>
        <w:wordWrap/>
        <w:overflowPunct/>
        <w:topLinePunct w:val="0"/>
        <w:autoSpaceDE w:val="0"/>
        <w:autoSpaceDN w:val="0"/>
        <w:bidi w:val="0"/>
        <w:adjustRightInd w:val="0"/>
        <w:snapToGrid w:val="0"/>
        <w:spacing w:line="240" w:lineRule="auto"/>
        <w:ind w:firstLine="420" w:firstLineChars="200"/>
        <w:jc w:val="both"/>
        <w:textAlignment w:val="auto"/>
        <w:rPr>
          <w:rFonts w:hint="default" w:cs="宋体"/>
          <w:color w:val="000000"/>
          <w:sz w:val="21"/>
          <w:szCs w:val="21"/>
        </w:rPr>
      </w:pPr>
      <w:r>
        <w:rPr>
          <w:rFonts w:cs="宋体"/>
          <w:color w:val="000000"/>
          <w:sz w:val="21"/>
          <w:szCs w:val="21"/>
        </w:rPr>
        <w:t>本文件适用于中小学生的健康监测。</w:t>
      </w:r>
    </w:p>
    <w:p w14:paraId="535E4E0F">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 xml:space="preserve">2 </w:t>
      </w:r>
      <w:r>
        <w:rPr>
          <w:sz w:val="21"/>
          <w:szCs w:val="21"/>
        </w:rPr>
        <w:t>规范性引用文件</w:t>
      </w:r>
    </w:p>
    <w:p w14:paraId="72906F84">
      <w:pPr>
        <w:snapToGrid w:val="0"/>
        <w:spacing w:line="288" w:lineRule="auto"/>
        <w:ind w:firstLine="420" w:firstLineChars="200"/>
        <w:jc w:val="both"/>
        <w:rPr>
          <w:rFonts w:hint="default" w:cs="宋体"/>
          <w:color w:val="000000"/>
          <w:sz w:val="21"/>
          <w:szCs w:val="21"/>
        </w:rPr>
      </w:pPr>
      <w:r>
        <w:rPr>
          <w:rFonts w:cs="宋体"/>
          <w:color w:val="000000"/>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2C51FAE">
      <w:pPr>
        <w:snapToGrid w:val="0"/>
        <w:spacing w:line="288" w:lineRule="auto"/>
        <w:jc w:val="both"/>
        <w:rPr>
          <w:rFonts w:hint="default" w:ascii="黑体" w:eastAsia="黑体" w:cs="黑体"/>
          <w:color w:val="000000"/>
          <w:sz w:val="21"/>
          <w:szCs w:val="21"/>
        </w:rPr>
      </w:pPr>
    </w:p>
    <w:p w14:paraId="0DEDEBF4">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GB/T26343</w:t>
      </w:r>
      <w:r>
        <w:rPr>
          <w:rFonts w:hint="eastAsia" w:cs="宋体"/>
          <w:color w:val="000000"/>
          <w:sz w:val="21"/>
          <w:szCs w:val="21"/>
          <w:lang w:val="en-US" w:eastAsia="zh-CN"/>
        </w:rPr>
        <w:t xml:space="preserve">  </w:t>
      </w:r>
      <w:r>
        <w:rPr>
          <w:rFonts w:cs="宋体"/>
          <w:color w:val="000000"/>
          <w:sz w:val="21"/>
          <w:szCs w:val="21"/>
        </w:rPr>
        <w:t>学生健康检查技术规范</w:t>
      </w:r>
    </w:p>
    <w:p w14:paraId="332B0C1E">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WS/T612</w:t>
      </w:r>
      <w:r>
        <w:rPr>
          <w:rFonts w:hint="eastAsia" w:cs="宋体"/>
          <w:color w:val="000000"/>
          <w:sz w:val="21"/>
          <w:szCs w:val="21"/>
          <w:lang w:val="en-US" w:eastAsia="zh-CN"/>
        </w:rPr>
        <w:t xml:space="preserve">  </w:t>
      </w:r>
      <w:r>
        <w:rPr>
          <w:rFonts w:cs="宋体"/>
          <w:color w:val="000000"/>
          <w:sz w:val="21"/>
          <w:szCs w:val="21"/>
        </w:rPr>
        <w:t>7岁～18岁儿童青少年身高发育等级评价</w:t>
      </w:r>
    </w:p>
    <w:p w14:paraId="36195949">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WS/T456</w:t>
      </w:r>
      <w:r>
        <w:rPr>
          <w:rFonts w:hint="eastAsia" w:cs="宋体"/>
          <w:color w:val="000000"/>
          <w:sz w:val="21"/>
          <w:szCs w:val="21"/>
          <w:lang w:val="en-US" w:eastAsia="zh-CN"/>
        </w:rPr>
        <w:t xml:space="preserve">  </w:t>
      </w:r>
      <w:r>
        <w:rPr>
          <w:rFonts w:cs="宋体"/>
          <w:color w:val="000000"/>
          <w:sz w:val="21"/>
          <w:szCs w:val="21"/>
        </w:rPr>
        <w:t>学龄儿童青少年营养不良筛查</w:t>
      </w:r>
    </w:p>
    <w:p w14:paraId="67495269">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WS/T586</w:t>
      </w:r>
      <w:r>
        <w:rPr>
          <w:rFonts w:hint="eastAsia" w:cs="宋体"/>
          <w:color w:val="000000"/>
          <w:sz w:val="21"/>
          <w:szCs w:val="21"/>
          <w:lang w:val="en-US" w:eastAsia="zh-CN"/>
        </w:rPr>
        <w:t xml:space="preserve">  </w:t>
      </w:r>
      <w:r>
        <w:rPr>
          <w:rFonts w:cs="宋体"/>
          <w:color w:val="000000"/>
          <w:sz w:val="21"/>
          <w:szCs w:val="21"/>
        </w:rPr>
        <w:t>学龄儿童青少年超重与肥胖筛查</w:t>
      </w:r>
    </w:p>
    <w:p w14:paraId="42B91873">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WS/T611</w:t>
      </w:r>
      <w:r>
        <w:rPr>
          <w:rFonts w:hint="eastAsia" w:cs="宋体"/>
          <w:color w:val="000000"/>
          <w:sz w:val="21"/>
          <w:szCs w:val="21"/>
          <w:lang w:val="en-US" w:eastAsia="zh-CN"/>
        </w:rPr>
        <w:t xml:space="preserve">  </w:t>
      </w:r>
      <w:r>
        <w:rPr>
          <w:rFonts w:cs="宋体"/>
          <w:color w:val="000000"/>
          <w:sz w:val="21"/>
          <w:szCs w:val="21"/>
        </w:rPr>
        <w:t>7岁～18岁儿童青少年高腰围筛查界值</w:t>
      </w:r>
    </w:p>
    <w:p w14:paraId="36730DF7">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WS/T610</w:t>
      </w:r>
      <w:r>
        <w:rPr>
          <w:rFonts w:hint="eastAsia" w:cs="宋体"/>
          <w:color w:val="000000"/>
          <w:sz w:val="21"/>
          <w:szCs w:val="21"/>
          <w:lang w:val="en-US" w:eastAsia="zh-CN"/>
        </w:rPr>
        <w:t xml:space="preserve">  </w:t>
      </w:r>
      <w:r>
        <w:rPr>
          <w:rFonts w:cs="宋体"/>
          <w:color w:val="000000"/>
          <w:sz w:val="21"/>
          <w:szCs w:val="21"/>
        </w:rPr>
        <w:t>7岁～18 岁儿童青少年血压偏高筛查界值</w:t>
      </w:r>
    </w:p>
    <w:p w14:paraId="28CF773A">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GB/T16133</w:t>
      </w:r>
      <w:r>
        <w:rPr>
          <w:rFonts w:hint="eastAsia" w:cs="宋体"/>
          <w:color w:val="000000"/>
          <w:sz w:val="21"/>
          <w:szCs w:val="21"/>
          <w:lang w:val="en-US" w:eastAsia="zh-CN"/>
        </w:rPr>
        <w:t xml:space="preserve">  </w:t>
      </w:r>
      <w:r>
        <w:rPr>
          <w:rFonts w:cs="宋体"/>
          <w:color w:val="000000"/>
          <w:sz w:val="21"/>
          <w:szCs w:val="21"/>
        </w:rPr>
        <w:t>儿童青少年脊柱弯曲异常的筛查</w:t>
      </w:r>
    </w:p>
    <w:p w14:paraId="13321CB6">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GB/T11533</w:t>
      </w:r>
      <w:r>
        <w:rPr>
          <w:rFonts w:hint="eastAsia" w:cs="宋体"/>
          <w:color w:val="000000"/>
          <w:sz w:val="21"/>
          <w:szCs w:val="21"/>
          <w:lang w:val="en-US" w:eastAsia="zh-CN"/>
        </w:rPr>
        <w:t xml:space="preserve">  </w:t>
      </w:r>
      <w:r>
        <w:rPr>
          <w:rFonts w:cs="宋体"/>
          <w:color w:val="000000"/>
          <w:sz w:val="21"/>
          <w:szCs w:val="21"/>
        </w:rPr>
        <w:t>标准对数视力表</w:t>
      </w:r>
    </w:p>
    <w:p w14:paraId="1247F692">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YY0673</w:t>
      </w:r>
      <w:r>
        <w:rPr>
          <w:rFonts w:hint="eastAsia" w:cs="宋体"/>
          <w:color w:val="000000"/>
          <w:sz w:val="21"/>
          <w:szCs w:val="21"/>
          <w:lang w:val="en-US" w:eastAsia="zh-CN"/>
        </w:rPr>
        <w:t xml:space="preserve">  </w:t>
      </w:r>
      <w:r>
        <w:rPr>
          <w:rFonts w:cs="宋体"/>
          <w:color w:val="000000"/>
          <w:sz w:val="21"/>
          <w:szCs w:val="21"/>
        </w:rPr>
        <w:t>眼科仪器验光仪</w:t>
      </w:r>
    </w:p>
    <w:p w14:paraId="390295BE">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GB31177</w:t>
      </w:r>
      <w:r>
        <w:rPr>
          <w:rFonts w:hint="eastAsia" w:cs="宋体"/>
          <w:color w:val="000000"/>
          <w:sz w:val="21"/>
          <w:szCs w:val="21"/>
          <w:lang w:val="en-US" w:eastAsia="zh-CN"/>
        </w:rPr>
        <w:t xml:space="preserve">  </w:t>
      </w:r>
      <w:r>
        <w:rPr>
          <w:rFonts w:cs="宋体"/>
          <w:color w:val="000000"/>
          <w:sz w:val="21"/>
          <w:szCs w:val="21"/>
        </w:rPr>
        <w:t>学生宿舍卫生要求及管理规范</w:t>
      </w:r>
    </w:p>
    <w:p w14:paraId="0879675F">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GB50099</w:t>
      </w:r>
      <w:r>
        <w:rPr>
          <w:rFonts w:hint="eastAsia" w:cs="宋体"/>
          <w:color w:val="000000"/>
          <w:sz w:val="21"/>
          <w:szCs w:val="21"/>
          <w:lang w:val="en-US" w:eastAsia="zh-CN"/>
        </w:rPr>
        <w:t xml:space="preserve">  </w:t>
      </w:r>
      <w:r>
        <w:rPr>
          <w:rFonts w:cs="宋体"/>
          <w:color w:val="000000"/>
          <w:sz w:val="21"/>
          <w:szCs w:val="21"/>
        </w:rPr>
        <w:t>中小学校设计规范</w:t>
      </w:r>
    </w:p>
    <w:p w14:paraId="64EC70E7">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GB/T18205</w:t>
      </w:r>
      <w:r>
        <w:rPr>
          <w:rFonts w:hint="eastAsia" w:cs="宋体"/>
          <w:color w:val="000000"/>
          <w:sz w:val="21"/>
          <w:szCs w:val="21"/>
          <w:lang w:val="en-US" w:eastAsia="zh-CN"/>
        </w:rPr>
        <w:t xml:space="preserve">  </w:t>
      </w:r>
      <w:r>
        <w:rPr>
          <w:rFonts w:cs="宋体"/>
          <w:color w:val="000000"/>
          <w:sz w:val="21"/>
          <w:szCs w:val="21"/>
        </w:rPr>
        <w:t>学校卫生综合评价</w:t>
      </w:r>
    </w:p>
    <w:p w14:paraId="64169C18">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GB/T3976</w:t>
      </w:r>
      <w:r>
        <w:rPr>
          <w:rFonts w:hint="eastAsia" w:cs="宋体"/>
          <w:color w:val="000000"/>
          <w:sz w:val="21"/>
          <w:szCs w:val="21"/>
          <w:lang w:val="en-US" w:eastAsia="zh-CN"/>
        </w:rPr>
        <w:t xml:space="preserve">  </w:t>
      </w:r>
      <w:r>
        <w:rPr>
          <w:rFonts w:cs="宋体"/>
          <w:color w:val="000000"/>
          <w:sz w:val="21"/>
          <w:szCs w:val="21"/>
        </w:rPr>
        <w:t>学校课桌椅功能尺寸及技术要求</w:t>
      </w:r>
    </w:p>
    <w:p w14:paraId="4C45E78B">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GB/T5700</w:t>
      </w:r>
      <w:r>
        <w:rPr>
          <w:rFonts w:hint="eastAsia" w:cs="宋体"/>
          <w:color w:val="000000"/>
          <w:sz w:val="21"/>
          <w:szCs w:val="21"/>
          <w:lang w:val="en-US" w:eastAsia="zh-CN"/>
        </w:rPr>
        <w:t xml:space="preserve">  </w:t>
      </w:r>
      <w:r>
        <w:rPr>
          <w:rFonts w:cs="宋体"/>
          <w:color w:val="000000"/>
          <w:sz w:val="21"/>
          <w:szCs w:val="21"/>
        </w:rPr>
        <w:t>照明测量方法</w:t>
      </w:r>
    </w:p>
    <w:p w14:paraId="62B94238">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GB7793</w:t>
      </w:r>
      <w:r>
        <w:rPr>
          <w:rFonts w:hint="eastAsia" w:cs="宋体"/>
          <w:color w:val="000000"/>
          <w:sz w:val="21"/>
          <w:szCs w:val="21"/>
          <w:lang w:val="en-US" w:eastAsia="zh-CN"/>
        </w:rPr>
        <w:t xml:space="preserve">  </w:t>
      </w:r>
      <w:r>
        <w:rPr>
          <w:rFonts w:cs="宋体"/>
          <w:color w:val="000000"/>
          <w:sz w:val="21"/>
          <w:szCs w:val="21"/>
        </w:rPr>
        <w:t>中小学校教室采光和照明卫生标准</w:t>
      </w:r>
    </w:p>
    <w:p w14:paraId="48913B22">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GB/T5699</w:t>
      </w:r>
      <w:r>
        <w:rPr>
          <w:rFonts w:hint="eastAsia" w:cs="宋体"/>
          <w:color w:val="000000"/>
          <w:sz w:val="21"/>
          <w:szCs w:val="21"/>
          <w:lang w:val="en-US" w:eastAsia="zh-CN"/>
        </w:rPr>
        <w:t xml:space="preserve">  </w:t>
      </w:r>
      <w:r>
        <w:rPr>
          <w:rFonts w:cs="宋体"/>
          <w:color w:val="000000"/>
          <w:sz w:val="21"/>
          <w:szCs w:val="21"/>
        </w:rPr>
        <w:t>采光测量方法</w:t>
      </w:r>
    </w:p>
    <w:p w14:paraId="4C5F521D">
      <w:pPr>
        <w:tabs>
          <w:tab w:val="left" w:pos="1980"/>
        </w:tabs>
        <w:snapToGrid w:val="0"/>
        <w:spacing w:line="288" w:lineRule="auto"/>
        <w:ind w:firstLine="420" w:firstLineChars="200"/>
        <w:jc w:val="both"/>
        <w:rPr>
          <w:rFonts w:hint="eastAsia" w:cs="宋体"/>
          <w:color w:val="000000"/>
          <w:sz w:val="21"/>
          <w:szCs w:val="21"/>
          <w:lang w:val="en-US" w:eastAsia="zh-CN"/>
        </w:rPr>
      </w:pPr>
      <w:r>
        <w:rPr>
          <w:rFonts w:cs="宋体"/>
          <w:color w:val="000000"/>
          <w:sz w:val="21"/>
          <w:szCs w:val="21"/>
        </w:rPr>
        <w:t>GB/T18204.1</w:t>
      </w:r>
      <w:r>
        <w:rPr>
          <w:rFonts w:hint="eastAsia" w:cs="宋体"/>
          <w:color w:val="000000"/>
          <w:sz w:val="21"/>
          <w:szCs w:val="21"/>
          <w:lang w:val="en-US" w:eastAsia="zh-CN"/>
        </w:rPr>
        <w:t xml:space="preserve">  </w:t>
      </w:r>
      <w:r>
        <w:rPr>
          <w:rFonts w:cs="宋体"/>
          <w:color w:val="000000"/>
          <w:sz w:val="21"/>
          <w:szCs w:val="21"/>
        </w:rPr>
        <w:t>公共场所卫生检验方法第1部分：物理</w:t>
      </w:r>
      <w:r>
        <w:rPr>
          <w:rFonts w:hint="eastAsia" w:cs="宋体"/>
          <w:color w:val="000000"/>
          <w:sz w:val="21"/>
          <w:szCs w:val="21"/>
          <w:lang w:val="en-US" w:eastAsia="zh-CN"/>
        </w:rPr>
        <w:t>性指标</w:t>
      </w:r>
    </w:p>
    <w:p w14:paraId="0F934B2A">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GB/T17225</w:t>
      </w:r>
      <w:r>
        <w:rPr>
          <w:rFonts w:hint="eastAsia" w:cs="宋体"/>
          <w:color w:val="000000"/>
          <w:sz w:val="21"/>
          <w:szCs w:val="21"/>
          <w:lang w:val="en-US" w:eastAsia="zh-CN"/>
        </w:rPr>
        <w:t xml:space="preserve">  </w:t>
      </w:r>
      <w:r>
        <w:rPr>
          <w:rFonts w:cs="宋体"/>
          <w:color w:val="000000"/>
          <w:sz w:val="21"/>
          <w:szCs w:val="21"/>
        </w:rPr>
        <w:t>中小学校采暖教室微小气候卫生要求</w:t>
      </w:r>
    </w:p>
    <w:p w14:paraId="5205BA5E">
      <w:pPr>
        <w:tabs>
          <w:tab w:val="left" w:pos="1980"/>
        </w:tabs>
        <w:snapToGrid w:val="0"/>
        <w:spacing w:line="288" w:lineRule="auto"/>
        <w:ind w:firstLine="420" w:firstLineChars="200"/>
        <w:jc w:val="both"/>
        <w:rPr>
          <w:rFonts w:hint="default" w:eastAsia="宋体" w:cs="宋体"/>
          <w:color w:val="000000"/>
          <w:sz w:val="21"/>
          <w:szCs w:val="21"/>
          <w:lang w:val="en-US" w:eastAsia="zh-CN"/>
        </w:rPr>
      </w:pPr>
      <w:r>
        <w:rPr>
          <w:rFonts w:hint="eastAsia" w:cs="宋体"/>
          <w:color w:val="000000"/>
          <w:sz w:val="21"/>
          <w:szCs w:val="21"/>
          <w:lang w:eastAsia="zh-CN"/>
        </w:rPr>
        <w:t>GB/T18204.2</w:t>
      </w:r>
      <w:r>
        <w:rPr>
          <w:rFonts w:hint="eastAsia" w:cs="宋体"/>
          <w:color w:val="000000"/>
          <w:sz w:val="21"/>
          <w:szCs w:val="21"/>
          <w:lang w:val="en-US" w:eastAsia="zh-CN"/>
        </w:rPr>
        <w:t xml:space="preserve">  </w:t>
      </w:r>
      <w:r>
        <w:rPr>
          <w:rFonts w:cs="宋体"/>
          <w:color w:val="000000"/>
          <w:sz w:val="21"/>
          <w:szCs w:val="21"/>
        </w:rPr>
        <w:t>公共场所卫生检验方法 第2部分：化学</w:t>
      </w:r>
      <w:r>
        <w:rPr>
          <w:rFonts w:hint="eastAsia" w:cs="宋体"/>
          <w:color w:val="000000"/>
          <w:sz w:val="21"/>
          <w:szCs w:val="21"/>
          <w:lang w:val="en-US" w:eastAsia="zh-CN"/>
        </w:rPr>
        <w:t>性指标</w:t>
      </w:r>
    </w:p>
    <w:p w14:paraId="2E075360">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GB/T17226</w:t>
      </w:r>
      <w:r>
        <w:rPr>
          <w:rFonts w:hint="eastAsia" w:cs="宋体"/>
          <w:color w:val="000000"/>
          <w:sz w:val="21"/>
          <w:szCs w:val="21"/>
          <w:lang w:val="en-US" w:eastAsia="zh-CN"/>
        </w:rPr>
        <w:t xml:space="preserve">  </w:t>
      </w:r>
      <w:r>
        <w:rPr>
          <w:rFonts w:cs="宋体"/>
          <w:color w:val="000000"/>
          <w:sz w:val="21"/>
          <w:szCs w:val="21"/>
        </w:rPr>
        <w:t>中小学校教室换气卫生要求</w:t>
      </w:r>
    </w:p>
    <w:p w14:paraId="05FD24A6">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RB/T208</w:t>
      </w:r>
      <w:r>
        <w:rPr>
          <w:rFonts w:hint="eastAsia" w:cs="宋体"/>
          <w:color w:val="000000"/>
          <w:sz w:val="21"/>
          <w:szCs w:val="21"/>
          <w:lang w:val="en-US" w:eastAsia="zh-CN"/>
        </w:rPr>
        <w:t xml:space="preserve">  </w:t>
      </w:r>
      <w:r>
        <w:rPr>
          <w:rFonts w:cs="宋体"/>
          <w:color w:val="000000"/>
          <w:sz w:val="21"/>
          <w:szCs w:val="21"/>
        </w:rPr>
        <w:t>化学实验室内部质量控制比对试验</w:t>
      </w:r>
    </w:p>
    <w:p w14:paraId="38A0024F">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WS/T367</w:t>
      </w:r>
      <w:r>
        <w:rPr>
          <w:rFonts w:hint="eastAsia" w:cs="宋体"/>
          <w:color w:val="000000"/>
          <w:sz w:val="21"/>
          <w:szCs w:val="21"/>
          <w:lang w:val="en-US" w:eastAsia="zh-CN"/>
        </w:rPr>
        <w:t xml:space="preserve">  </w:t>
      </w:r>
      <w:r>
        <w:rPr>
          <w:rFonts w:cs="宋体"/>
          <w:color w:val="000000"/>
          <w:sz w:val="21"/>
          <w:szCs w:val="21"/>
        </w:rPr>
        <w:t>医疗机构消毒技术规范</w:t>
      </w:r>
    </w:p>
    <w:p w14:paraId="0D5932FD">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GB15982</w:t>
      </w:r>
      <w:r>
        <w:rPr>
          <w:rFonts w:hint="eastAsia" w:cs="宋体"/>
          <w:color w:val="000000"/>
          <w:sz w:val="21"/>
          <w:szCs w:val="21"/>
          <w:lang w:val="en-US" w:eastAsia="zh-CN"/>
        </w:rPr>
        <w:t xml:space="preserve">  </w:t>
      </w:r>
      <w:r>
        <w:rPr>
          <w:rFonts w:cs="宋体"/>
          <w:color w:val="000000"/>
          <w:sz w:val="21"/>
          <w:szCs w:val="21"/>
        </w:rPr>
        <w:t>医院消毒卫生标准</w:t>
      </w:r>
    </w:p>
    <w:p w14:paraId="10109D0D">
      <w:pPr>
        <w:tabs>
          <w:tab w:val="left" w:pos="1980"/>
        </w:tabs>
        <w:snapToGrid w:val="0"/>
        <w:spacing w:line="288" w:lineRule="auto"/>
        <w:ind w:firstLine="420" w:firstLineChars="200"/>
        <w:jc w:val="both"/>
        <w:rPr>
          <w:rFonts w:hint="default" w:cs="宋体"/>
          <w:color w:val="000000"/>
          <w:sz w:val="21"/>
          <w:szCs w:val="21"/>
        </w:rPr>
      </w:pPr>
      <w:r>
        <w:rPr>
          <w:rFonts w:cs="宋体"/>
          <w:color w:val="000000"/>
          <w:sz w:val="21"/>
          <w:szCs w:val="21"/>
        </w:rPr>
        <w:t>GB/T7722</w:t>
      </w:r>
      <w:r>
        <w:rPr>
          <w:rFonts w:hint="eastAsia" w:cs="宋体"/>
          <w:color w:val="000000"/>
          <w:sz w:val="21"/>
          <w:szCs w:val="21"/>
          <w:lang w:val="en-US" w:eastAsia="zh-CN"/>
        </w:rPr>
        <w:t xml:space="preserve">  </w:t>
      </w:r>
      <w:r>
        <w:rPr>
          <w:rFonts w:cs="宋体"/>
          <w:color w:val="000000"/>
          <w:sz w:val="21"/>
          <w:szCs w:val="21"/>
        </w:rPr>
        <w:t>电子台案秤</w:t>
      </w:r>
    </w:p>
    <w:p w14:paraId="42F6451F">
      <w:pPr>
        <w:tabs>
          <w:tab w:val="left" w:pos="1980"/>
        </w:tabs>
        <w:snapToGrid w:val="0"/>
        <w:spacing w:line="288" w:lineRule="auto"/>
        <w:ind w:firstLine="420" w:firstLineChars="200"/>
        <w:jc w:val="both"/>
        <w:rPr>
          <w:rFonts w:hint="default" w:eastAsia="宋体" w:cs="宋体"/>
          <w:color w:val="000000"/>
          <w:sz w:val="21"/>
          <w:szCs w:val="21"/>
          <w:lang w:val="en-US" w:eastAsia="zh-CN"/>
        </w:rPr>
      </w:pPr>
      <w:r>
        <w:rPr>
          <w:rFonts w:hint="eastAsia" w:cs="宋体"/>
          <w:color w:val="000000"/>
          <w:sz w:val="21"/>
          <w:szCs w:val="21"/>
          <w:lang w:eastAsia="zh-CN"/>
        </w:rPr>
        <w:t>JJG692</w:t>
      </w:r>
      <w:r>
        <w:rPr>
          <w:rFonts w:hint="eastAsia" w:cs="宋体"/>
          <w:color w:val="000000"/>
          <w:sz w:val="21"/>
          <w:szCs w:val="21"/>
          <w:lang w:val="en-US" w:eastAsia="zh-CN"/>
        </w:rPr>
        <w:t xml:space="preserve">  </w:t>
      </w:r>
      <w:r>
        <w:rPr>
          <w:rFonts w:cs="宋体"/>
          <w:color w:val="000000"/>
          <w:sz w:val="21"/>
          <w:szCs w:val="21"/>
        </w:rPr>
        <w:t>无创自动测量血压计</w:t>
      </w:r>
      <w:r>
        <w:rPr>
          <w:rFonts w:hint="eastAsia" w:cs="宋体"/>
          <w:color w:val="000000"/>
          <w:sz w:val="21"/>
          <w:szCs w:val="21"/>
          <w:lang w:val="en-US" w:eastAsia="zh-CN"/>
        </w:rPr>
        <w:t>检定规程</w:t>
      </w:r>
    </w:p>
    <w:p w14:paraId="596612F6">
      <w:pPr>
        <w:tabs>
          <w:tab w:val="left" w:pos="1980"/>
        </w:tabs>
        <w:snapToGrid w:val="0"/>
        <w:spacing w:line="288" w:lineRule="auto"/>
        <w:ind w:firstLine="420" w:firstLineChars="200"/>
        <w:jc w:val="both"/>
        <w:rPr>
          <w:rFonts w:hint="default" w:eastAsia="宋体" w:cs="宋体"/>
          <w:color w:val="000000"/>
          <w:sz w:val="21"/>
          <w:szCs w:val="21"/>
          <w:lang w:val="en-US" w:eastAsia="zh-CN"/>
        </w:rPr>
      </w:pPr>
      <w:r>
        <w:rPr>
          <w:rFonts w:cs="宋体"/>
          <w:color w:val="000000"/>
          <w:sz w:val="21"/>
          <w:szCs w:val="21"/>
        </w:rPr>
        <w:t>JJG966</w:t>
      </w:r>
      <w:r>
        <w:rPr>
          <w:rFonts w:hint="eastAsia" w:cs="宋体"/>
          <w:color w:val="000000"/>
          <w:sz w:val="21"/>
          <w:szCs w:val="21"/>
          <w:lang w:val="en-US" w:eastAsia="zh-CN"/>
        </w:rPr>
        <w:t xml:space="preserve">  </w:t>
      </w:r>
      <w:r>
        <w:rPr>
          <w:rFonts w:cs="宋体"/>
          <w:color w:val="000000"/>
          <w:sz w:val="21"/>
          <w:szCs w:val="21"/>
        </w:rPr>
        <w:t>手持式激光测距仪</w:t>
      </w:r>
      <w:r>
        <w:rPr>
          <w:rFonts w:hint="eastAsia" w:cs="宋体"/>
          <w:color w:val="000000"/>
          <w:sz w:val="21"/>
          <w:szCs w:val="21"/>
          <w:lang w:val="en-US" w:eastAsia="zh-CN"/>
        </w:rPr>
        <w:t>检定规程</w:t>
      </w:r>
    </w:p>
    <w:p w14:paraId="6C03ACFF">
      <w:pPr>
        <w:tabs>
          <w:tab w:val="left" w:pos="1980"/>
        </w:tabs>
        <w:snapToGrid w:val="0"/>
        <w:spacing w:line="288" w:lineRule="auto"/>
        <w:ind w:firstLine="420" w:firstLineChars="200"/>
        <w:jc w:val="both"/>
        <w:rPr>
          <w:rFonts w:hint="default" w:eastAsia="宋体" w:cs="宋体"/>
          <w:color w:val="000000"/>
          <w:sz w:val="21"/>
          <w:szCs w:val="21"/>
          <w:lang w:val="en-US" w:eastAsia="zh-CN"/>
        </w:rPr>
      </w:pPr>
      <w:r>
        <w:rPr>
          <w:rFonts w:hint="eastAsia" w:cs="宋体"/>
          <w:color w:val="000000"/>
          <w:sz w:val="21"/>
          <w:szCs w:val="21"/>
          <w:lang w:eastAsia="zh-CN"/>
        </w:rPr>
        <w:t>JJG635</w:t>
      </w:r>
      <w:r>
        <w:rPr>
          <w:rFonts w:hint="eastAsia" w:cs="宋体"/>
          <w:color w:val="000000"/>
          <w:sz w:val="21"/>
          <w:szCs w:val="21"/>
          <w:lang w:val="en-US" w:eastAsia="zh-CN"/>
        </w:rPr>
        <w:t xml:space="preserve">  </w:t>
      </w:r>
      <w:r>
        <w:rPr>
          <w:rFonts w:cs="宋体"/>
          <w:color w:val="000000"/>
          <w:sz w:val="21"/>
          <w:szCs w:val="21"/>
        </w:rPr>
        <w:t>一氧化碳、二氧化碳红外气体分析器</w:t>
      </w:r>
      <w:r>
        <w:rPr>
          <w:rFonts w:hint="eastAsia" w:cs="宋体"/>
          <w:color w:val="000000"/>
          <w:sz w:val="21"/>
          <w:szCs w:val="21"/>
          <w:lang w:val="en-US" w:eastAsia="zh-CN"/>
        </w:rPr>
        <w:t>检定规程</w:t>
      </w:r>
    </w:p>
    <w:p w14:paraId="5F034115">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3</w:t>
      </w:r>
      <w:r>
        <w:rPr>
          <w:rFonts w:hint="eastAsia"/>
          <w:sz w:val="21"/>
          <w:szCs w:val="21"/>
          <w:lang w:val="en-US" w:eastAsia="zh-CN"/>
        </w:rPr>
        <w:t xml:space="preserve">  </w:t>
      </w:r>
      <w:r>
        <w:rPr>
          <w:sz w:val="21"/>
          <w:szCs w:val="21"/>
        </w:rPr>
        <w:t xml:space="preserve">术语和定义 </w:t>
      </w:r>
    </w:p>
    <w:p w14:paraId="63EFF88A">
      <w:pPr>
        <w:snapToGrid w:val="0"/>
        <w:spacing w:line="288" w:lineRule="auto"/>
        <w:ind w:firstLine="420" w:firstLineChars="200"/>
        <w:jc w:val="both"/>
        <w:rPr>
          <w:rFonts w:hint="default" w:cs="宋体"/>
          <w:color w:val="000000"/>
          <w:sz w:val="21"/>
          <w:szCs w:val="21"/>
        </w:rPr>
      </w:pPr>
      <w:r>
        <w:rPr>
          <w:rFonts w:cs="宋体"/>
          <w:color w:val="000000"/>
          <w:sz w:val="21"/>
          <w:szCs w:val="21"/>
        </w:rPr>
        <w:t>下列术语和定义适用于本文件。</w:t>
      </w:r>
    </w:p>
    <w:p w14:paraId="60FE67AB">
      <w:pPr>
        <w:pStyle w:val="2"/>
        <w:numPr>
          <w:ilvl w:val="0"/>
          <w:numId w:val="0"/>
        </w:numPr>
        <w:snapToGrid w:val="0"/>
        <w:spacing w:before="120" w:after="120" w:line="288" w:lineRule="auto"/>
        <w:ind w:left="420" w:hanging="420" w:hangingChars="200"/>
        <w:jc w:val="both"/>
        <w:rPr>
          <w:rFonts w:hint="default"/>
          <w:sz w:val="21"/>
          <w:szCs w:val="21"/>
        </w:rPr>
      </w:pPr>
      <w:r>
        <w:rPr>
          <w:sz w:val="21"/>
          <w:szCs w:val="21"/>
        </w:rPr>
        <w:t xml:space="preserve">3.1 </w:t>
      </w:r>
      <w:r>
        <w:rPr>
          <w:sz w:val="21"/>
          <w:szCs w:val="21"/>
        </w:rPr>
        <w:br w:type="textWrapping"/>
      </w:r>
      <w:r>
        <w:rPr>
          <w:sz w:val="21"/>
          <w:szCs w:val="21"/>
        </w:rPr>
        <w:t>健康监测 health surveillance</w:t>
      </w:r>
    </w:p>
    <w:p w14:paraId="6146A991">
      <w:pPr>
        <w:snapToGrid w:val="0"/>
        <w:spacing w:line="288" w:lineRule="auto"/>
        <w:ind w:firstLine="420" w:firstLineChars="200"/>
        <w:jc w:val="both"/>
        <w:rPr>
          <w:rFonts w:hint="default" w:cs="宋体"/>
          <w:color w:val="000000"/>
          <w:sz w:val="21"/>
          <w:szCs w:val="21"/>
        </w:rPr>
      </w:pPr>
      <w:r>
        <w:rPr>
          <w:rFonts w:cs="宋体"/>
          <w:color w:val="000000"/>
          <w:sz w:val="21"/>
          <w:szCs w:val="21"/>
        </w:rPr>
        <w:t>采用抽样调查方法，对</w:t>
      </w:r>
      <w:r>
        <w:rPr>
          <w:rFonts w:cs="宋体"/>
          <w:color w:val="000000"/>
          <w:sz w:val="21"/>
          <w:szCs w:val="21"/>
          <w:highlight w:val="none"/>
        </w:rPr>
        <w:t>确定的</w:t>
      </w:r>
      <w:r>
        <w:rPr>
          <w:rFonts w:hint="eastAsia" w:cs="宋体"/>
          <w:color w:val="000000"/>
          <w:sz w:val="21"/>
          <w:szCs w:val="21"/>
          <w:highlight w:val="none"/>
          <w:lang w:eastAsia="zh-CN"/>
        </w:rPr>
        <w:t>监测</w:t>
      </w:r>
      <w:r>
        <w:rPr>
          <w:rFonts w:hint="eastAsia" w:cs="宋体"/>
          <w:color w:val="000000"/>
          <w:sz w:val="21"/>
          <w:szCs w:val="21"/>
          <w:highlight w:val="none"/>
          <w:lang w:val="en-US" w:eastAsia="zh-CN"/>
        </w:rPr>
        <w:t>点校</w:t>
      </w:r>
      <w:r>
        <w:rPr>
          <w:rFonts w:cs="宋体"/>
          <w:color w:val="000000"/>
          <w:sz w:val="21"/>
          <w:szCs w:val="21"/>
          <w:highlight w:val="none"/>
        </w:rPr>
        <w:t>或目</w:t>
      </w:r>
      <w:r>
        <w:rPr>
          <w:rFonts w:cs="宋体"/>
          <w:color w:val="000000"/>
          <w:sz w:val="21"/>
          <w:szCs w:val="21"/>
        </w:rPr>
        <w:t>标人群，按统一技术标准对儿童青少年近视、肥胖、血压偏高、龋齿、脊柱弯曲异常等常见病进行长期、连续、系统的观察，动态掌握其健康状况、健康影响因素和教室环境卫生状况。</w:t>
      </w:r>
    </w:p>
    <w:p w14:paraId="29045275">
      <w:pPr>
        <w:pStyle w:val="2"/>
        <w:numPr>
          <w:ilvl w:val="0"/>
          <w:numId w:val="0"/>
        </w:numPr>
        <w:snapToGrid w:val="0"/>
        <w:spacing w:before="120" w:after="120" w:line="288" w:lineRule="auto"/>
        <w:ind w:left="420" w:hanging="420" w:hangingChars="200"/>
        <w:jc w:val="both"/>
        <w:rPr>
          <w:rFonts w:hint="default"/>
          <w:sz w:val="21"/>
          <w:szCs w:val="21"/>
        </w:rPr>
      </w:pPr>
      <w:r>
        <w:rPr>
          <w:sz w:val="21"/>
          <w:szCs w:val="21"/>
        </w:rPr>
        <w:t xml:space="preserve">3.2 </w:t>
      </w:r>
      <w:r>
        <w:rPr>
          <w:sz w:val="21"/>
          <w:szCs w:val="21"/>
        </w:rPr>
        <w:br w:type="textWrapping"/>
      </w:r>
      <w:r>
        <w:rPr>
          <w:sz w:val="21"/>
          <w:szCs w:val="21"/>
        </w:rPr>
        <w:t>健康监测机构 health surveillance institution</w:t>
      </w:r>
    </w:p>
    <w:p w14:paraId="23B4879B">
      <w:pPr>
        <w:snapToGrid w:val="0"/>
        <w:spacing w:line="288" w:lineRule="auto"/>
        <w:ind w:firstLine="420" w:firstLineChars="200"/>
        <w:jc w:val="both"/>
        <w:rPr>
          <w:rFonts w:hint="default" w:cs="宋体"/>
          <w:color w:val="000000"/>
          <w:sz w:val="21"/>
          <w:szCs w:val="21"/>
        </w:rPr>
      </w:pPr>
      <w:r>
        <w:rPr>
          <w:rFonts w:cs="宋体"/>
          <w:color w:val="000000"/>
          <w:sz w:val="21"/>
          <w:szCs w:val="21"/>
        </w:rPr>
        <w:t>能独立开展儿童青少年健康监测工作的医疗卫生机构，包括医院、疾病预防控制中心、社区卫生服务中心、乡镇卫生院、妇幼保健院和中小学卫生保健机构。</w:t>
      </w:r>
    </w:p>
    <w:p w14:paraId="27440E53">
      <w:pPr>
        <w:pStyle w:val="2"/>
        <w:numPr>
          <w:ilvl w:val="0"/>
          <w:numId w:val="0"/>
        </w:numPr>
        <w:snapToGrid w:val="0"/>
        <w:spacing w:before="120" w:after="120" w:line="288" w:lineRule="auto"/>
        <w:ind w:left="420" w:hanging="420" w:hangingChars="200"/>
        <w:jc w:val="both"/>
        <w:rPr>
          <w:rFonts w:hint="default"/>
          <w:sz w:val="21"/>
          <w:szCs w:val="21"/>
        </w:rPr>
      </w:pPr>
      <w:r>
        <w:rPr>
          <w:sz w:val="21"/>
          <w:szCs w:val="21"/>
        </w:rPr>
        <w:t xml:space="preserve">3.3 </w:t>
      </w:r>
      <w:r>
        <w:rPr>
          <w:sz w:val="21"/>
          <w:szCs w:val="21"/>
        </w:rPr>
        <w:br w:type="textWrapping"/>
      </w:r>
      <w:r>
        <w:rPr>
          <w:sz w:val="21"/>
          <w:szCs w:val="21"/>
        </w:rPr>
        <w:t>中小学校 school</w:t>
      </w:r>
    </w:p>
    <w:p w14:paraId="343C0DA5">
      <w:pPr>
        <w:snapToGrid w:val="0"/>
        <w:spacing w:line="288" w:lineRule="auto"/>
        <w:ind w:firstLine="420" w:firstLineChars="200"/>
        <w:jc w:val="both"/>
        <w:rPr>
          <w:rFonts w:hint="default" w:cs="宋体"/>
          <w:color w:val="000000"/>
          <w:sz w:val="21"/>
          <w:szCs w:val="21"/>
        </w:rPr>
      </w:pPr>
      <w:r>
        <w:rPr>
          <w:rFonts w:hint="eastAsia" w:cs="宋体"/>
          <w:color w:val="000000"/>
          <w:sz w:val="21"/>
          <w:szCs w:val="21"/>
        </w:rPr>
        <w:t>泛指对青、少年实施初等教育和中等教育的学校，包括完全小学、非完全小学、初级中学、高级中学、完全中学、九年制学校等各种学校。</w:t>
      </w:r>
    </w:p>
    <w:p w14:paraId="07C9AD47">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4</w:t>
      </w:r>
      <w:r>
        <w:rPr>
          <w:sz w:val="21"/>
          <w:szCs w:val="21"/>
        </w:rPr>
        <w:t xml:space="preserve"> 监测内容</w:t>
      </w:r>
    </w:p>
    <w:p w14:paraId="558E5D5D">
      <w:pPr>
        <w:snapToGrid w:val="0"/>
        <w:spacing w:line="288" w:lineRule="auto"/>
        <w:ind w:firstLine="420" w:firstLineChars="200"/>
        <w:jc w:val="both"/>
        <w:rPr>
          <w:rFonts w:hint="default" w:cs="宋体"/>
          <w:color w:val="auto"/>
          <w:sz w:val="21"/>
          <w:szCs w:val="21"/>
          <w:highlight w:val="none"/>
        </w:rPr>
      </w:pPr>
      <w:r>
        <w:rPr>
          <w:rFonts w:cs="宋体"/>
          <w:color w:val="auto"/>
          <w:sz w:val="21"/>
          <w:szCs w:val="21"/>
          <w:highlight w:val="none"/>
        </w:rPr>
        <w:t>中小学生健康监测包括以下三项内容：</w:t>
      </w:r>
    </w:p>
    <w:p w14:paraId="4D270054">
      <w:pPr>
        <w:pStyle w:val="19"/>
        <w:numPr>
          <w:ilvl w:val="0"/>
          <w:numId w:val="2"/>
        </w:numPr>
        <w:tabs>
          <w:tab w:val="left" w:pos="0"/>
        </w:tabs>
        <w:snapToGrid w:val="0"/>
        <w:spacing w:line="288" w:lineRule="auto"/>
        <w:jc w:val="both"/>
        <w:rPr>
          <w:rFonts w:hint="default" w:cs="宋体"/>
          <w:color w:val="auto"/>
          <w:sz w:val="21"/>
          <w:szCs w:val="21"/>
          <w:highlight w:val="none"/>
        </w:rPr>
      </w:pPr>
      <w:r>
        <w:rPr>
          <w:rFonts w:cs="宋体"/>
          <w:color w:val="auto"/>
          <w:sz w:val="21"/>
          <w:szCs w:val="21"/>
          <w:highlight w:val="none"/>
        </w:rPr>
        <w:t>中小学生健康监测；</w:t>
      </w:r>
    </w:p>
    <w:p w14:paraId="7FDD8441">
      <w:pPr>
        <w:pStyle w:val="19"/>
        <w:numPr>
          <w:ilvl w:val="0"/>
          <w:numId w:val="2"/>
        </w:numPr>
        <w:tabs>
          <w:tab w:val="left" w:pos="0"/>
        </w:tabs>
        <w:snapToGrid w:val="0"/>
        <w:spacing w:line="288" w:lineRule="auto"/>
        <w:jc w:val="both"/>
        <w:rPr>
          <w:rFonts w:hint="default" w:cs="宋体"/>
          <w:color w:val="auto"/>
          <w:sz w:val="21"/>
          <w:szCs w:val="21"/>
          <w:highlight w:val="none"/>
        </w:rPr>
      </w:pPr>
      <w:r>
        <w:rPr>
          <w:rFonts w:cs="宋体"/>
          <w:color w:val="auto"/>
          <w:sz w:val="21"/>
          <w:szCs w:val="21"/>
          <w:highlight w:val="none"/>
        </w:rPr>
        <w:t>中小学生健康影响因素监测；</w:t>
      </w:r>
    </w:p>
    <w:p w14:paraId="19870906">
      <w:pPr>
        <w:pStyle w:val="19"/>
        <w:numPr>
          <w:ilvl w:val="0"/>
          <w:numId w:val="2"/>
        </w:numPr>
        <w:tabs>
          <w:tab w:val="left" w:pos="0"/>
        </w:tabs>
        <w:snapToGrid w:val="0"/>
        <w:spacing w:line="288" w:lineRule="auto"/>
        <w:jc w:val="both"/>
        <w:rPr>
          <w:rFonts w:hint="default" w:cs="宋体"/>
          <w:color w:val="auto"/>
          <w:sz w:val="21"/>
          <w:szCs w:val="21"/>
          <w:highlight w:val="none"/>
        </w:rPr>
      </w:pPr>
      <w:r>
        <w:rPr>
          <w:rFonts w:cs="宋体"/>
          <w:color w:val="auto"/>
          <w:sz w:val="21"/>
          <w:szCs w:val="21"/>
          <w:highlight w:val="none"/>
        </w:rPr>
        <w:t>学校环境影响因素监测。</w:t>
      </w:r>
    </w:p>
    <w:p w14:paraId="6D36C2CB">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5</w:t>
      </w:r>
      <w:r>
        <w:rPr>
          <w:sz w:val="21"/>
          <w:szCs w:val="21"/>
        </w:rPr>
        <w:t xml:space="preserve"> </w:t>
      </w:r>
      <w:r>
        <w:rPr>
          <w:rFonts w:hint="eastAsia"/>
          <w:sz w:val="21"/>
          <w:szCs w:val="21"/>
          <w:lang w:val="en-US" w:eastAsia="zh-CN"/>
        </w:rPr>
        <w:t>监测</w:t>
      </w:r>
      <w:r>
        <w:rPr>
          <w:sz w:val="21"/>
          <w:szCs w:val="21"/>
        </w:rPr>
        <w:t>要求</w:t>
      </w:r>
    </w:p>
    <w:p w14:paraId="223BE216">
      <w:pPr>
        <w:pStyle w:val="2"/>
        <w:numPr>
          <w:ilvl w:val="0"/>
          <w:numId w:val="0"/>
        </w:numPr>
        <w:snapToGrid w:val="0"/>
        <w:spacing w:before="120" w:after="120" w:line="288" w:lineRule="auto"/>
        <w:jc w:val="both"/>
        <w:rPr>
          <w:rFonts w:hint="default"/>
          <w:sz w:val="21"/>
          <w:szCs w:val="21"/>
        </w:rPr>
      </w:pPr>
      <w:r>
        <w:rPr>
          <w:sz w:val="21"/>
          <w:szCs w:val="21"/>
        </w:rPr>
        <w:t>5.1 健康监测机构要求</w:t>
      </w:r>
    </w:p>
    <w:p w14:paraId="6E3633AF">
      <w:pPr>
        <w:snapToGrid w:val="0"/>
        <w:spacing w:line="288" w:lineRule="auto"/>
        <w:jc w:val="both"/>
        <w:rPr>
          <w:rFonts w:hint="default" w:cs="宋体"/>
          <w:color w:val="000000"/>
          <w:sz w:val="21"/>
          <w:szCs w:val="21"/>
        </w:rPr>
      </w:pPr>
      <w:r>
        <w:rPr>
          <w:rFonts w:ascii="黑体" w:eastAsia="黑体" w:cs="黑体"/>
          <w:color w:val="000000"/>
          <w:sz w:val="21"/>
          <w:szCs w:val="21"/>
        </w:rPr>
        <w:t xml:space="preserve">5.1.1 </w:t>
      </w:r>
      <w:r>
        <w:rPr>
          <w:rFonts w:cs="宋体"/>
          <w:color w:val="000000"/>
          <w:sz w:val="21"/>
          <w:szCs w:val="21"/>
        </w:rPr>
        <w:t>应具备开展相关现场检测和调查工作的资质或能力。</w:t>
      </w:r>
    </w:p>
    <w:p w14:paraId="44785350">
      <w:pPr>
        <w:snapToGrid w:val="0"/>
        <w:spacing w:line="288" w:lineRule="auto"/>
        <w:jc w:val="both"/>
        <w:rPr>
          <w:rFonts w:hint="default" w:cs="宋体"/>
          <w:color w:val="000000"/>
          <w:sz w:val="21"/>
          <w:szCs w:val="21"/>
        </w:rPr>
      </w:pPr>
      <w:r>
        <w:rPr>
          <w:rFonts w:ascii="黑体" w:eastAsia="黑体" w:cs="黑体"/>
          <w:color w:val="000000"/>
          <w:sz w:val="21"/>
          <w:szCs w:val="21"/>
        </w:rPr>
        <w:t xml:space="preserve">5.1.2 </w:t>
      </w:r>
      <w:r>
        <w:rPr>
          <w:rFonts w:cs="宋体"/>
          <w:color w:val="000000"/>
          <w:sz w:val="21"/>
          <w:szCs w:val="21"/>
        </w:rPr>
        <w:t>应具有对健康监测数据进行评价、分析和反馈的能力。</w:t>
      </w:r>
    </w:p>
    <w:p w14:paraId="24C8ECB7">
      <w:pPr>
        <w:snapToGrid w:val="0"/>
        <w:spacing w:line="288" w:lineRule="auto"/>
        <w:jc w:val="both"/>
        <w:rPr>
          <w:rFonts w:hint="default" w:cs="宋体"/>
          <w:color w:val="000000"/>
          <w:sz w:val="21"/>
          <w:szCs w:val="21"/>
        </w:rPr>
      </w:pPr>
      <w:r>
        <w:rPr>
          <w:rFonts w:ascii="黑体" w:eastAsia="黑体" w:cs="黑体"/>
          <w:color w:val="000000"/>
          <w:sz w:val="21"/>
          <w:szCs w:val="21"/>
        </w:rPr>
        <w:t xml:space="preserve">5.1.3 </w:t>
      </w:r>
      <w:r>
        <w:rPr>
          <w:rFonts w:cs="宋体"/>
          <w:color w:val="000000"/>
          <w:sz w:val="21"/>
          <w:szCs w:val="21"/>
        </w:rPr>
        <w:t>应建立健全相关组织管理制度和质量控制管理组织，编制质量管理体系文件，执行健康监测安全和质量控制相关规章及规范。</w:t>
      </w:r>
    </w:p>
    <w:p w14:paraId="56C64AC2">
      <w:pPr>
        <w:pStyle w:val="2"/>
        <w:numPr>
          <w:ilvl w:val="0"/>
          <w:numId w:val="0"/>
        </w:numPr>
        <w:snapToGrid w:val="0"/>
        <w:spacing w:before="120" w:after="120" w:line="288" w:lineRule="auto"/>
        <w:jc w:val="both"/>
        <w:rPr>
          <w:rFonts w:hint="default"/>
          <w:sz w:val="21"/>
          <w:szCs w:val="21"/>
        </w:rPr>
      </w:pPr>
      <w:r>
        <w:rPr>
          <w:sz w:val="21"/>
          <w:szCs w:val="21"/>
        </w:rPr>
        <w:t>5.2 学校要求</w:t>
      </w:r>
    </w:p>
    <w:p w14:paraId="283256AF">
      <w:pPr>
        <w:snapToGrid w:val="0"/>
        <w:spacing w:line="288" w:lineRule="auto"/>
        <w:jc w:val="both"/>
        <w:rPr>
          <w:rFonts w:hint="default" w:cs="宋体"/>
          <w:color w:val="000000"/>
          <w:sz w:val="21"/>
          <w:szCs w:val="21"/>
        </w:rPr>
      </w:pPr>
      <w:r>
        <w:rPr>
          <w:rFonts w:ascii="黑体" w:eastAsia="黑体" w:cs="黑体"/>
          <w:color w:val="000000"/>
          <w:sz w:val="21"/>
          <w:szCs w:val="21"/>
        </w:rPr>
        <w:t xml:space="preserve">5.2.1 </w:t>
      </w:r>
      <w:r>
        <w:rPr>
          <w:rFonts w:cs="宋体"/>
          <w:color w:val="000000"/>
          <w:sz w:val="21"/>
          <w:szCs w:val="21"/>
        </w:rPr>
        <w:t>应配合健康监测机构制定现场监测方案及流程，并进行隐患排查。</w:t>
      </w:r>
    </w:p>
    <w:p w14:paraId="54C1A9DE">
      <w:pPr>
        <w:snapToGrid w:val="0"/>
        <w:spacing w:line="288" w:lineRule="auto"/>
        <w:jc w:val="both"/>
        <w:rPr>
          <w:rFonts w:hint="default" w:cs="宋体"/>
          <w:color w:val="000000"/>
          <w:sz w:val="21"/>
          <w:szCs w:val="21"/>
        </w:rPr>
      </w:pPr>
      <w:r>
        <w:rPr>
          <w:rFonts w:ascii="黑体" w:eastAsia="黑体" w:cs="黑体"/>
          <w:color w:val="000000"/>
          <w:sz w:val="21"/>
          <w:szCs w:val="21"/>
        </w:rPr>
        <w:t xml:space="preserve">5.2.2 </w:t>
      </w:r>
      <w:r>
        <w:rPr>
          <w:rFonts w:cs="宋体"/>
          <w:color w:val="000000"/>
          <w:sz w:val="21"/>
          <w:szCs w:val="21"/>
        </w:rPr>
        <w:t>应在相关技术机构指导下做好传染病防控措施。</w:t>
      </w:r>
    </w:p>
    <w:p w14:paraId="75374A7C">
      <w:pPr>
        <w:snapToGrid w:val="0"/>
        <w:spacing w:line="288" w:lineRule="auto"/>
        <w:jc w:val="both"/>
        <w:rPr>
          <w:rFonts w:hint="default" w:cs="宋体"/>
          <w:color w:val="000000"/>
          <w:sz w:val="21"/>
          <w:szCs w:val="21"/>
        </w:rPr>
      </w:pPr>
      <w:r>
        <w:rPr>
          <w:rFonts w:ascii="黑体" w:eastAsia="黑体" w:cs="黑体"/>
          <w:color w:val="000000"/>
          <w:sz w:val="21"/>
          <w:szCs w:val="21"/>
        </w:rPr>
        <w:t xml:space="preserve">5.2.3 </w:t>
      </w:r>
      <w:r>
        <w:rPr>
          <w:rFonts w:cs="宋体"/>
          <w:color w:val="000000"/>
          <w:sz w:val="21"/>
          <w:szCs w:val="21"/>
        </w:rPr>
        <w:t>应对儿童青少年进行健康监测前宣传教育，发放知情同意书，告知家长和儿童青少年健康监测的内容、注意事项及配合事宜。</w:t>
      </w:r>
    </w:p>
    <w:p w14:paraId="0F0563E3">
      <w:pPr>
        <w:pStyle w:val="2"/>
        <w:numPr>
          <w:ilvl w:val="0"/>
          <w:numId w:val="0"/>
        </w:numPr>
        <w:snapToGrid w:val="0"/>
        <w:spacing w:before="120" w:after="120" w:line="288" w:lineRule="auto"/>
        <w:jc w:val="both"/>
        <w:rPr>
          <w:rFonts w:hint="default"/>
          <w:sz w:val="21"/>
          <w:szCs w:val="21"/>
        </w:rPr>
      </w:pPr>
      <w:r>
        <w:rPr>
          <w:sz w:val="21"/>
          <w:szCs w:val="21"/>
        </w:rPr>
        <w:t>5.3 仪器设备要求</w:t>
      </w:r>
    </w:p>
    <w:p w14:paraId="44917849">
      <w:pPr>
        <w:snapToGrid w:val="0"/>
        <w:spacing w:line="288" w:lineRule="auto"/>
        <w:jc w:val="both"/>
        <w:rPr>
          <w:rFonts w:hint="default" w:cs="宋体"/>
          <w:color w:val="000000"/>
          <w:sz w:val="21"/>
          <w:szCs w:val="21"/>
        </w:rPr>
      </w:pPr>
      <w:r>
        <w:rPr>
          <w:rFonts w:ascii="黑体" w:eastAsia="黑体" w:cs="黑体"/>
          <w:color w:val="000000"/>
          <w:sz w:val="21"/>
          <w:szCs w:val="21"/>
        </w:rPr>
        <w:t xml:space="preserve">5.3.1 </w:t>
      </w:r>
      <w:r>
        <w:rPr>
          <w:rFonts w:cs="宋体"/>
          <w:color w:val="000000"/>
          <w:sz w:val="21"/>
          <w:szCs w:val="21"/>
        </w:rPr>
        <w:t>应配备符合常见病监测和教室环境卫生监测项目要求的监测仪器和质控仪器，种类、数量、性能、量程、精度能满足工作需要，并能良好运行。</w:t>
      </w:r>
    </w:p>
    <w:p w14:paraId="12EC12B7">
      <w:pPr>
        <w:snapToGrid w:val="0"/>
        <w:spacing w:line="288" w:lineRule="auto"/>
        <w:jc w:val="both"/>
        <w:rPr>
          <w:rFonts w:hint="default" w:cs="宋体"/>
          <w:color w:val="000000"/>
          <w:sz w:val="21"/>
          <w:szCs w:val="21"/>
        </w:rPr>
      </w:pPr>
      <w:r>
        <w:rPr>
          <w:rFonts w:ascii="黑体" w:eastAsia="黑体" w:cs="黑体"/>
          <w:color w:val="000000"/>
          <w:sz w:val="21"/>
          <w:szCs w:val="21"/>
        </w:rPr>
        <w:t xml:space="preserve">5.3.2 </w:t>
      </w:r>
      <w:r>
        <w:rPr>
          <w:rFonts w:cs="宋体"/>
          <w:color w:val="000000"/>
          <w:sz w:val="21"/>
          <w:szCs w:val="21"/>
        </w:rPr>
        <w:t>监测仪器和质控仪器，应当定期检定或校准。有国家计量检定规程的计量器具，应当实施计量检定。无国家计量检定规程的计量器具，应当采用校准或检测的方式溯源保证量值准确。</w:t>
      </w:r>
    </w:p>
    <w:p w14:paraId="4B7D1387">
      <w:pPr>
        <w:snapToGrid w:val="0"/>
        <w:spacing w:line="288" w:lineRule="auto"/>
        <w:jc w:val="both"/>
        <w:rPr>
          <w:rFonts w:hint="default" w:cs="宋体"/>
          <w:color w:val="000000"/>
          <w:sz w:val="21"/>
          <w:szCs w:val="21"/>
          <w:highlight w:val="none"/>
        </w:rPr>
      </w:pPr>
      <w:r>
        <w:rPr>
          <w:rFonts w:ascii="黑体" w:eastAsia="黑体" w:cs="黑体"/>
          <w:color w:val="000000"/>
          <w:sz w:val="21"/>
          <w:szCs w:val="21"/>
        </w:rPr>
        <w:t xml:space="preserve">5.3.3 </w:t>
      </w:r>
      <w:r>
        <w:rPr>
          <w:rFonts w:cs="宋体"/>
          <w:color w:val="000000"/>
          <w:sz w:val="21"/>
          <w:szCs w:val="21"/>
        </w:rPr>
        <w:t>仪器设备应有完整的操作规程，并建立仪器档案，</w:t>
      </w:r>
      <w:r>
        <w:rPr>
          <w:rFonts w:cs="宋体"/>
          <w:color w:val="000000"/>
          <w:sz w:val="21"/>
          <w:szCs w:val="21"/>
          <w:highlight w:val="none"/>
        </w:rPr>
        <w:t>定期开展维护和期间核查。</w:t>
      </w:r>
    </w:p>
    <w:p w14:paraId="472EE58C">
      <w:pPr>
        <w:snapToGrid w:val="0"/>
        <w:spacing w:line="288" w:lineRule="auto"/>
        <w:jc w:val="both"/>
        <w:rPr>
          <w:rFonts w:hint="default" w:cs="宋体"/>
          <w:color w:val="000000"/>
          <w:sz w:val="21"/>
          <w:szCs w:val="21"/>
        </w:rPr>
      </w:pPr>
      <w:r>
        <w:rPr>
          <w:rFonts w:ascii="黑体" w:eastAsia="黑体" w:cs="黑体"/>
          <w:color w:val="000000"/>
          <w:sz w:val="21"/>
          <w:szCs w:val="21"/>
        </w:rPr>
        <w:t xml:space="preserve">5.3.4 </w:t>
      </w:r>
      <w:r>
        <w:rPr>
          <w:rFonts w:cs="宋体"/>
          <w:color w:val="000000"/>
          <w:sz w:val="21"/>
          <w:szCs w:val="21"/>
        </w:rPr>
        <w:t>监测仪器在监测过程中应定期使用质控仪器进行内部校准，要求参照附录A。</w:t>
      </w:r>
    </w:p>
    <w:p w14:paraId="27A63D29">
      <w:pPr>
        <w:pStyle w:val="2"/>
        <w:numPr>
          <w:ilvl w:val="0"/>
          <w:numId w:val="0"/>
        </w:numPr>
        <w:snapToGrid w:val="0"/>
        <w:spacing w:before="120" w:after="120" w:line="288" w:lineRule="auto"/>
        <w:jc w:val="both"/>
        <w:rPr>
          <w:rFonts w:hint="default"/>
          <w:sz w:val="21"/>
          <w:szCs w:val="21"/>
        </w:rPr>
      </w:pPr>
      <w:r>
        <w:rPr>
          <w:rFonts w:hint="eastAsia"/>
          <w:sz w:val="21"/>
          <w:szCs w:val="21"/>
          <w:lang w:val="en-US" w:eastAsia="zh-CN"/>
        </w:rPr>
        <w:t xml:space="preserve">5.4  </w:t>
      </w:r>
      <w:r>
        <w:rPr>
          <w:sz w:val="21"/>
          <w:szCs w:val="21"/>
        </w:rPr>
        <w:t>场地要求</w:t>
      </w:r>
    </w:p>
    <w:p w14:paraId="1B1C06B7">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5.4</w:t>
      </w:r>
      <w:r>
        <w:rPr>
          <w:rFonts w:ascii="黑体" w:eastAsia="黑体" w:cs="黑体"/>
          <w:color w:val="000000"/>
          <w:sz w:val="21"/>
          <w:szCs w:val="21"/>
        </w:rPr>
        <w:t xml:space="preserve">.1 </w:t>
      </w:r>
      <w:r>
        <w:rPr>
          <w:rFonts w:cs="宋体"/>
          <w:color w:val="000000"/>
          <w:sz w:val="21"/>
          <w:szCs w:val="21"/>
        </w:rPr>
        <w:t>常见病监测场地应符合以下要求：</w:t>
      </w:r>
    </w:p>
    <w:p w14:paraId="15BAAB1C">
      <w:pPr>
        <w:pStyle w:val="19"/>
        <w:numPr>
          <w:ilvl w:val="0"/>
          <w:numId w:val="3"/>
        </w:numPr>
        <w:tabs>
          <w:tab w:val="left" w:pos="0"/>
        </w:tabs>
        <w:snapToGrid w:val="0"/>
        <w:spacing w:line="288" w:lineRule="auto"/>
        <w:jc w:val="both"/>
        <w:rPr>
          <w:rFonts w:hint="default" w:cs="宋体"/>
          <w:color w:val="000000"/>
          <w:sz w:val="21"/>
          <w:szCs w:val="21"/>
        </w:rPr>
      </w:pPr>
      <w:r>
        <w:rPr>
          <w:rFonts w:cs="宋体"/>
          <w:color w:val="000000"/>
          <w:sz w:val="21"/>
          <w:szCs w:val="21"/>
        </w:rPr>
        <w:t>应有儿童青少年集合场地，并设有不小于20㎡的室内候诊区（室）；</w:t>
      </w:r>
    </w:p>
    <w:p w14:paraId="5B292591">
      <w:pPr>
        <w:pStyle w:val="19"/>
        <w:numPr>
          <w:ilvl w:val="0"/>
          <w:numId w:val="3"/>
        </w:numPr>
        <w:tabs>
          <w:tab w:val="left" w:pos="0"/>
        </w:tabs>
        <w:snapToGrid w:val="0"/>
        <w:spacing w:line="288" w:lineRule="auto"/>
        <w:jc w:val="both"/>
        <w:rPr>
          <w:rFonts w:hint="default" w:cs="宋体"/>
          <w:color w:val="000000"/>
          <w:sz w:val="21"/>
          <w:szCs w:val="21"/>
        </w:rPr>
      </w:pPr>
      <w:r>
        <w:rPr>
          <w:rFonts w:cs="宋体"/>
          <w:color w:val="000000"/>
          <w:sz w:val="21"/>
          <w:szCs w:val="21"/>
        </w:rPr>
        <w:t>现场检查场所应干净，整洁，温暖，光线充足，通风良好，并保持安静；可设置在医疗机构或学校内；</w:t>
      </w:r>
    </w:p>
    <w:p w14:paraId="6451B9D6">
      <w:pPr>
        <w:pStyle w:val="19"/>
        <w:numPr>
          <w:ilvl w:val="0"/>
          <w:numId w:val="3"/>
        </w:numPr>
        <w:tabs>
          <w:tab w:val="left" w:pos="0"/>
        </w:tabs>
        <w:snapToGrid w:val="0"/>
        <w:spacing w:line="288" w:lineRule="auto"/>
        <w:jc w:val="both"/>
        <w:rPr>
          <w:rFonts w:hint="default" w:cs="宋体"/>
          <w:color w:val="000000"/>
          <w:sz w:val="21"/>
          <w:szCs w:val="21"/>
        </w:rPr>
      </w:pPr>
      <w:r>
        <w:rPr>
          <w:rFonts w:cs="宋体"/>
          <w:color w:val="000000"/>
          <w:sz w:val="21"/>
          <w:szCs w:val="21"/>
        </w:rPr>
        <w:t>检查场所面积大小及光照强度应满足GB/T11533中关于视力表使用的检查距离及照明要求；</w:t>
      </w:r>
    </w:p>
    <w:p w14:paraId="7ED6688E">
      <w:pPr>
        <w:pStyle w:val="19"/>
        <w:numPr>
          <w:ilvl w:val="0"/>
          <w:numId w:val="3"/>
        </w:numPr>
        <w:tabs>
          <w:tab w:val="left" w:pos="0"/>
        </w:tabs>
        <w:snapToGrid w:val="0"/>
        <w:spacing w:line="288" w:lineRule="auto"/>
        <w:jc w:val="both"/>
        <w:rPr>
          <w:rFonts w:hint="default" w:cs="宋体"/>
          <w:color w:val="000000"/>
          <w:sz w:val="21"/>
          <w:szCs w:val="21"/>
        </w:rPr>
      </w:pPr>
      <w:r>
        <w:rPr>
          <w:rFonts w:cs="宋体"/>
          <w:color w:val="000000"/>
          <w:sz w:val="21"/>
          <w:szCs w:val="21"/>
        </w:rPr>
        <w:t>需男女生分开检查的项目，检查室各不少于1间，如房间不足应男女生分时段轮换检查；涉及敏感或隐私的项目，应提供屏风或遮挡物；</w:t>
      </w:r>
    </w:p>
    <w:p w14:paraId="35846D3D">
      <w:pPr>
        <w:pStyle w:val="19"/>
        <w:numPr>
          <w:ilvl w:val="0"/>
          <w:numId w:val="3"/>
        </w:numPr>
        <w:tabs>
          <w:tab w:val="left" w:pos="0"/>
        </w:tabs>
        <w:snapToGrid w:val="0"/>
        <w:spacing w:line="288" w:lineRule="auto"/>
        <w:jc w:val="both"/>
        <w:rPr>
          <w:rFonts w:hint="default" w:cs="宋体"/>
          <w:color w:val="000000"/>
          <w:sz w:val="21"/>
          <w:szCs w:val="21"/>
        </w:rPr>
      </w:pPr>
      <w:r>
        <w:rPr>
          <w:rFonts w:cs="宋体"/>
          <w:color w:val="000000"/>
          <w:sz w:val="21"/>
          <w:szCs w:val="21"/>
        </w:rPr>
        <w:t>场地冬季温度不应低于18℃。</w:t>
      </w:r>
    </w:p>
    <w:p w14:paraId="4B8CCE10">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5.4</w:t>
      </w:r>
      <w:r>
        <w:rPr>
          <w:rFonts w:ascii="黑体" w:eastAsia="黑体" w:cs="黑体"/>
          <w:color w:val="000000"/>
          <w:sz w:val="21"/>
          <w:szCs w:val="21"/>
        </w:rPr>
        <w:t>.2</w:t>
      </w:r>
      <w:r>
        <w:rPr>
          <w:rFonts w:hint="eastAsia" w:ascii="黑体" w:eastAsia="黑体" w:cs="黑体"/>
          <w:color w:val="000000"/>
          <w:sz w:val="21"/>
          <w:szCs w:val="21"/>
          <w:lang w:val="en-US" w:eastAsia="zh-CN"/>
        </w:rPr>
        <w:t xml:space="preserve">  </w:t>
      </w:r>
      <w:r>
        <w:rPr>
          <w:rFonts w:cs="宋体"/>
          <w:color w:val="000000"/>
          <w:sz w:val="21"/>
          <w:szCs w:val="21"/>
        </w:rPr>
        <w:t>健康影响因素监测场地应符合以下要求：</w:t>
      </w:r>
    </w:p>
    <w:p w14:paraId="1D3FFFE5">
      <w:pPr>
        <w:pStyle w:val="19"/>
        <w:numPr>
          <w:ilvl w:val="0"/>
          <w:numId w:val="4"/>
        </w:numPr>
        <w:tabs>
          <w:tab w:val="left" w:pos="0"/>
        </w:tabs>
        <w:snapToGrid w:val="0"/>
        <w:spacing w:line="288" w:lineRule="auto"/>
        <w:jc w:val="both"/>
        <w:rPr>
          <w:rFonts w:hint="default" w:cs="宋体"/>
          <w:color w:val="000000"/>
          <w:sz w:val="21"/>
          <w:szCs w:val="21"/>
        </w:rPr>
      </w:pPr>
      <w:r>
        <w:rPr>
          <w:rFonts w:cs="宋体"/>
          <w:color w:val="000000"/>
          <w:sz w:val="21"/>
          <w:szCs w:val="21"/>
        </w:rPr>
        <w:t>宜选择教室，</w:t>
      </w:r>
      <w:r>
        <w:rPr>
          <w:rFonts w:hint="eastAsia" w:cs="宋体"/>
          <w:color w:val="000000"/>
          <w:sz w:val="21"/>
          <w:szCs w:val="21"/>
          <w:lang w:eastAsia="zh-CN"/>
        </w:rPr>
        <w:t>无噪声</w:t>
      </w:r>
      <w:r>
        <w:rPr>
          <w:rFonts w:cs="宋体"/>
          <w:color w:val="000000"/>
          <w:sz w:val="21"/>
          <w:szCs w:val="21"/>
        </w:rPr>
        <w:t>干扰，应避免多年级或多班儿童青少年集中在学校会议室、体育馆、礼堂等地方进行调查；</w:t>
      </w:r>
    </w:p>
    <w:p w14:paraId="5868D2EC">
      <w:pPr>
        <w:pStyle w:val="19"/>
        <w:numPr>
          <w:ilvl w:val="0"/>
          <w:numId w:val="4"/>
        </w:numPr>
        <w:tabs>
          <w:tab w:val="left" w:pos="0"/>
        </w:tabs>
        <w:snapToGrid w:val="0"/>
        <w:spacing w:line="288" w:lineRule="auto"/>
        <w:jc w:val="both"/>
        <w:rPr>
          <w:rFonts w:hint="default" w:cs="宋体"/>
          <w:color w:val="000000"/>
          <w:sz w:val="21"/>
          <w:szCs w:val="21"/>
        </w:rPr>
      </w:pPr>
      <w:r>
        <w:rPr>
          <w:rFonts w:cs="宋体"/>
          <w:color w:val="000000"/>
          <w:sz w:val="21"/>
          <w:szCs w:val="21"/>
        </w:rPr>
        <w:t>参与调查儿童青少年之间应保持足够的间隔，避免互相干扰。</w:t>
      </w:r>
    </w:p>
    <w:p w14:paraId="1AA3C2A9">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5.4</w:t>
      </w:r>
      <w:r>
        <w:rPr>
          <w:rFonts w:ascii="黑体" w:eastAsia="黑体" w:cs="黑体"/>
          <w:color w:val="000000"/>
          <w:sz w:val="21"/>
          <w:szCs w:val="21"/>
        </w:rPr>
        <w:t xml:space="preserve">.3 </w:t>
      </w:r>
      <w:r>
        <w:rPr>
          <w:rFonts w:cs="宋体"/>
          <w:color w:val="000000"/>
          <w:sz w:val="21"/>
          <w:szCs w:val="21"/>
        </w:rPr>
        <w:t>学校环境影响因素监测场地应符合以下要求：</w:t>
      </w:r>
    </w:p>
    <w:p w14:paraId="212F2ED5">
      <w:pPr>
        <w:pStyle w:val="19"/>
        <w:numPr>
          <w:ilvl w:val="0"/>
          <w:numId w:val="5"/>
        </w:numPr>
        <w:tabs>
          <w:tab w:val="left" w:pos="0"/>
        </w:tabs>
        <w:snapToGrid w:val="0"/>
        <w:spacing w:line="288" w:lineRule="auto"/>
        <w:jc w:val="both"/>
        <w:rPr>
          <w:rFonts w:hint="default" w:cs="宋体"/>
          <w:color w:val="000000"/>
          <w:sz w:val="21"/>
          <w:szCs w:val="21"/>
        </w:rPr>
      </w:pPr>
      <w:r>
        <w:rPr>
          <w:rFonts w:cs="宋体"/>
          <w:color w:val="000000"/>
          <w:sz w:val="21"/>
          <w:szCs w:val="21"/>
        </w:rPr>
        <w:t>每所学校应选择不同楼层、不同朝向的6间普通教室开展监测；</w:t>
      </w:r>
    </w:p>
    <w:p w14:paraId="016E18CA">
      <w:pPr>
        <w:pStyle w:val="19"/>
        <w:numPr>
          <w:ilvl w:val="0"/>
          <w:numId w:val="5"/>
        </w:numPr>
        <w:tabs>
          <w:tab w:val="left" w:pos="0"/>
        </w:tabs>
        <w:snapToGrid w:val="0"/>
        <w:spacing w:line="288" w:lineRule="auto"/>
        <w:jc w:val="both"/>
        <w:rPr>
          <w:rFonts w:hint="default" w:cs="宋体"/>
          <w:color w:val="000000"/>
          <w:sz w:val="21"/>
          <w:szCs w:val="21"/>
        </w:rPr>
      </w:pPr>
      <w:r>
        <w:rPr>
          <w:rFonts w:cs="宋体"/>
          <w:color w:val="000000"/>
          <w:sz w:val="21"/>
          <w:szCs w:val="21"/>
        </w:rPr>
        <w:t>不选择专用教室。</w:t>
      </w:r>
    </w:p>
    <w:p w14:paraId="17206F25">
      <w:pPr>
        <w:pStyle w:val="2"/>
        <w:numPr>
          <w:ilvl w:val="0"/>
          <w:numId w:val="0"/>
        </w:numPr>
        <w:snapToGrid w:val="0"/>
        <w:spacing w:before="120" w:after="120" w:line="288" w:lineRule="auto"/>
        <w:jc w:val="both"/>
        <w:rPr>
          <w:rFonts w:hint="default"/>
          <w:sz w:val="21"/>
          <w:szCs w:val="21"/>
        </w:rPr>
      </w:pPr>
      <w:r>
        <w:rPr>
          <w:rFonts w:hint="eastAsia"/>
          <w:sz w:val="21"/>
          <w:szCs w:val="21"/>
          <w:lang w:val="en-US" w:eastAsia="zh-CN"/>
        </w:rPr>
        <w:t xml:space="preserve">5.5  </w:t>
      </w:r>
      <w:r>
        <w:rPr>
          <w:sz w:val="21"/>
          <w:szCs w:val="21"/>
        </w:rPr>
        <w:t>人员要求</w:t>
      </w:r>
    </w:p>
    <w:p w14:paraId="43091F7F">
      <w:pPr>
        <w:pStyle w:val="2"/>
        <w:numPr>
          <w:ilvl w:val="0"/>
          <w:numId w:val="0"/>
        </w:numPr>
        <w:snapToGrid w:val="0"/>
        <w:spacing w:before="120" w:after="120" w:line="288" w:lineRule="auto"/>
        <w:jc w:val="both"/>
        <w:rPr>
          <w:rFonts w:hint="default"/>
          <w:sz w:val="21"/>
          <w:szCs w:val="21"/>
        </w:rPr>
      </w:pPr>
      <w:r>
        <w:rPr>
          <w:rFonts w:hint="eastAsia"/>
          <w:sz w:val="21"/>
          <w:szCs w:val="21"/>
          <w:lang w:eastAsia="zh-CN"/>
        </w:rPr>
        <w:t>5.5</w:t>
      </w:r>
      <w:r>
        <w:rPr>
          <w:sz w:val="21"/>
          <w:szCs w:val="21"/>
        </w:rPr>
        <w:t>.1</w:t>
      </w:r>
      <w:r>
        <w:rPr>
          <w:rFonts w:hint="eastAsia"/>
          <w:sz w:val="21"/>
          <w:szCs w:val="21"/>
          <w:lang w:val="en-US" w:eastAsia="zh-CN"/>
        </w:rPr>
        <w:t xml:space="preserve">  </w:t>
      </w:r>
      <w:r>
        <w:rPr>
          <w:sz w:val="21"/>
          <w:szCs w:val="21"/>
        </w:rPr>
        <w:t>常见病监测人员要求</w:t>
      </w:r>
    </w:p>
    <w:p w14:paraId="3EFD7C73">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.1.1 </w:t>
      </w:r>
      <w:r>
        <w:rPr>
          <w:rFonts w:cs="宋体"/>
          <w:color w:val="000000"/>
          <w:sz w:val="21"/>
          <w:szCs w:val="21"/>
        </w:rPr>
        <w:t>常见病监测队伍应由健康检查人员和质量控制人员组成。</w:t>
      </w:r>
      <w:r>
        <w:rPr>
          <w:rFonts w:hint="eastAsia" w:cs="宋体"/>
          <w:color w:val="000000"/>
          <w:sz w:val="21"/>
          <w:szCs w:val="21"/>
          <w:highlight w:val="none"/>
          <w:lang w:val="en-US" w:eastAsia="zh-CN"/>
        </w:rPr>
        <w:t>各专业</w:t>
      </w:r>
      <w:r>
        <w:rPr>
          <w:rFonts w:cs="宋体"/>
          <w:color w:val="000000"/>
          <w:sz w:val="21"/>
          <w:szCs w:val="21"/>
          <w:highlight w:val="none"/>
        </w:rPr>
        <w:t>健康检查</w:t>
      </w:r>
      <w:r>
        <w:rPr>
          <w:rFonts w:cs="宋体"/>
          <w:color w:val="000000"/>
          <w:sz w:val="21"/>
          <w:szCs w:val="21"/>
        </w:rPr>
        <w:t>和质量控制人员均应具有相应专业执业医师资格，至少有1人具有中级及以上</w:t>
      </w:r>
      <w:r>
        <w:rPr>
          <w:rFonts w:hint="eastAsia" w:cs="宋体"/>
          <w:color w:val="000000"/>
          <w:sz w:val="21"/>
          <w:szCs w:val="21"/>
          <w:lang w:eastAsia="zh-CN"/>
        </w:rPr>
        <w:t>的</w:t>
      </w:r>
      <w:r>
        <w:rPr>
          <w:rFonts w:cs="宋体"/>
          <w:color w:val="000000"/>
          <w:sz w:val="21"/>
          <w:szCs w:val="21"/>
        </w:rPr>
        <w:t>专业技术职称</w:t>
      </w:r>
      <w:r>
        <w:rPr>
          <w:rFonts w:hint="eastAsia" w:cs="宋体"/>
          <w:color w:val="000000"/>
          <w:sz w:val="21"/>
          <w:szCs w:val="21"/>
          <w:lang w:val="en-US" w:eastAsia="zh-CN"/>
        </w:rPr>
        <w:t>或</w:t>
      </w:r>
      <w:r>
        <w:rPr>
          <w:rFonts w:cs="宋体"/>
          <w:color w:val="000000"/>
          <w:sz w:val="21"/>
          <w:szCs w:val="21"/>
        </w:rPr>
        <w:t>任职资格。</w:t>
      </w:r>
    </w:p>
    <w:p w14:paraId="408F7FFA">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.1.2 </w:t>
      </w:r>
      <w:r>
        <w:rPr>
          <w:rFonts w:cs="宋体"/>
          <w:color w:val="000000"/>
          <w:sz w:val="21"/>
          <w:szCs w:val="21"/>
        </w:rPr>
        <w:t>健康检查人员和质量控制人员均应进行检测项目、卫生应急及感染防控培训，并考核合格。各岗位健康检查人员宜固定，应持工作证上岗。</w:t>
      </w:r>
    </w:p>
    <w:p w14:paraId="4F2F37CA">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.1.3 </w:t>
      </w:r>
      <w:r>
        <w:rPr>
          <w:rFonts w:cs="宋体"/>
          <w:color w:val="000000"/>
          <w:sz w:val="21"/>
          <w:szCs w:val="21"/>
        </w:rPr>
        <w:t>应建立并管理健康检查人员及质量控制人员信息档案，包括人员基本信息、体检项目、考核情况等。</w:t>
      </w:r>
    </w:p>
    <w:p w14:paraId="5943707C">
      <w:pPr>
        <w:pStyle w:val="2"/>
        <w:numPr>
          <w:ilvl w:val="0"/>
          <w:numId w:val="0"/>
        </w:numPr>
        <w:snapToGrid w:val="0"/>
        <w:spacing w:before="120" w:after="120" w:line="288" w:lineRule="auto"/>
        <w:jc w:val="both"/>
        <w:rPr>
          <w:rFonts w:hint="default"/>
          <w:sz w:val="21"/>
          <w:szCs w:val="21"/>
        </w:rPr>
      </w:pPr>
      <w:r>
        <w:rPr>
          <w:rFonts w:hint="eastAsia"/>
          <w:sz w:val="21"/>
          <w:szCs w:val="21"/>
          <w:lang w:eastAsia="zh-CN"/>
        </w:rPr>
        <w:t>5.5</w:t>
      </w:r>
      <w:r>
        <w:rPr>
          <w:sz w:val="21"/>
          <w:szCs w:val="21"/>
        </w:rPr>
        <w:t>.2</w:t>
      </w:r>
      <w:r>
        <w:rPr>
          <w:rFonts w:hint="eastAsia"/>
          <w:sz w:val="21"/>
          <w:szCs w:val="21"/>
          <w:lang w:val="en-US" w:eastAsia="zh-CN"/>
        </w:rPr>
        <w:t xml:space="preserve">  </w:t>
      </w:r>
      <w:r>
        <w:rPr>
          <w:sz w:val="21"/>
          <w:szCs w:val="21"/>
        </w:rPr>
        <w:t>健康影响因素监测人员要求</w:t>
      </w:r>
    </w:p>
    <w:p w14:paraId="4DE3DCC9">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.2.1 </w:t>
      </w:r>
      <w:r>
        <w:rPr>
          <w:rFonts w:cs="宋体"/>
          <w:color w:val="000000"/>
          <w:sz w:val="21"/>
          <w:szCs w:val="21"/>
        </w:rPr>
        <w:t>健康影响因素监测人员应经过监测项目、填写要求和注意事项培训，并考核合格，各辖区调查员相对固定，应持工作证上岗。学校老师、校医应回避调查过程。</w:t>
      </w:r>
    </w:p>
    <w:p w14:paraId="4AECEA6F">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.2.2 </w:t>
      </w:r>
      <w:r>
        <w:rPr>
          <w:rFonts w:cs="宋体"/>
          <w:color w:val="000000"/>
          <w:sz w:val="21"/>
          <w:szCs w:val="21"/>
        </w:rPr>
        <w:t>调查人员应使用统一指导语，说明调查的意义，强调儿童青少年隐私保护。</w:t>
      </w:r>
    </w:p>
    <w:p w14:paraId="2DB47A17">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.2.3 </w:t>
      </w:r>
      <w:r>
        <w:rPr>
          <w:rFonts w:cs="宋体"/>
          <w:color w:val="000000"/>
          <w:sz w:val="21"/>
          <w:szCs w:val="21"/>
        </w:rPr>
        <w:t>应建立并管理健康影响因素监测人员信息档案，包括人员基本信息、考核情况等。</w:t>
      </w:r>
    </w:p>
    <w:p w14:paraId="09FD4808">
      <w:pPr>
        <w:pStyle w:val="2"/>
        <w:numPr>
          <w:ilvl w:val="0"/>
          <w:numId w:val="0"/>
        </w:numPr>
        <w:snapToGrid w:val="0"/>
        <w:spacing w:before="120" w:after="120" w:line="288" w:lineRule="auto"/>
        <w:jc w:val="both"/>
        <w:rPr>
          <w:rFonts w:hint="default"/>
          <w:sz w:val="21"/>
          <w:szCs w:val="21"/>
        </w:rPr>
      </w:pPr>
      <w:r>
        <w:rPr>
          <w:rFonts w:hint="eastAsia"/>
          <w:sz w:val="21"/>
          <w:szCs w:val="21"/>
          <w:lang w:eastAsia="zh-CN"/>
        </w:rPr>
        <w:t>5.5</w:t>
      </w:r>
      <w:r>
        <w:rPr>
          <w:sz w:val="21"/>
          <w:szCs w:val="21"/>
        </w:rPr>
        <w:t>.3</w:t>
      </w:r>
      <w:r>
        <w:rPr>
          <w:rFonts w:hint="eastAsia"/>
          <w:sz w:val="21"/>
          <w:szCs w:val="21"/>
          <w:lang w:val="en-US" w:eastAsia="zh-CN"/>
        </w:rPr>
        <w:t xml:space="preserve">  </w:t>
      </w:r>
      <w:r>
        <w:rPr>
          <w:sz w:val="21"/>
          <w:szCs w:val="21"/>
        </w:rPr>
        <w:t>学校环境影响因素监测人员要求</w:t>
      </w:r>
    </w:p>
    <w:p w14:paraId="1E5ECDBE">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.3.1 </w:t>
      </w:r>
      <w:r>
        <w:rPr>
          <w:rFonts w:cs="宋体"/>
          <w:color w:val="000000"/>
          <w:sz w:val="21"/>
          <w:szCs w:val="21"/>
        </w:rPr>
        <w:t>教室环境卫生监测队伍应由具备相应卫生学检测资格的人员和质量控制人员组成，中小学校应指定人员陪同监测。</w:t>
      </w:r>
    </w:p>
    <w:p w14:paraId="4D0BF82B">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.3.2 </w:t>
      </w:r>
      <w:r>
        <w:rPr>
          <w:rFonts w:cs="宋体"/>
          <w:color w:val="000000"/>
          <w:sz w:val="21"/>
          <w:szCs w:val="21"/>
        </w:rPr>
        <w:t>教室环境卫生监测人员和质量控制人员均应进行检测项目培训，并考核合格，各辖区监测人员相对固定，应持工作证上岗。</w:t>
      </w:r>
    </w:p>
    <w:p w14:paraId="58E040CC">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.3.3 </w:t>
      </w:r>
      <w:r>
        <w:rPr>
          <w:rFonts w:cs="宋体"/>
          <w:color w:val="000000"/>
          <w:sz w:val="21"/>
          <w:szCs w:val="21"/>
        </w:rPr>
        <w:t>应根据实际情况安排监测人员数量，应保证每间教室至少有3人，1人测量，1人记录，1人复核。</w:t>
      </w:r>
    </w:p>
    <w:p w14:paraId="1A8BFC93">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5.5</w:t>
      </w:r>
      <w:r>
        <w:rPr>
          <w:rFonts w:ascii="黑体" w:eastAsia="黑体" w:cs="黑体"/>
          <w:color w:val="000000"/>
          <w:sz w:val="21"/>
          <w:szCs w:val="21"/>
        </w:rPr>
        <w:t xml:space="preserve">.3.4 </w:t>
      </w:r>
      <w:r>
        <w:rPr>
          <w:rFonts w:cs="宋体"/>
          <w:color w:val="000000"/>
          <w:sz w:val="21"/>
          <w:szCs w:val="21"/>
        </w:rPr>
        <w:t>应建立教室环境卫生监测人员及质量控制人员信息档案，包括人员基本信息、监测项目、考核情况等。</w:t>
      </w:r>
    </w:p>
    <w:p w14:paraId="7C72CFE6">
      <w:pPr>
        <w:pStyle w:val="2"/>
        <w:numPr>
          <w:ilvl w:val="0"/>
          <w:numId w:val="0"/>
        </w:numPr>
        <w:snapToGrid w:val="0"/>
        <w:spacing w:before="120" w:after="120" w:line="288" w:lineRule="auto"/>
        <w:jc w:val="both"/>
        <w:rPr>
          <w:rFonts w:hint="default"/>
          <w:sz w:val="21"/>
          <w:szCs w:val="21"/>
        </w:rPr>
      </w:pPr>
      <w:r>
        <w:rPr>
          <w:rFonts w:hint="eastAsia"/>
          <w:sz w:val="21"/>
          <w:szCs w:val="21"/>
          <w:lang w:val="en-US" w:eastAsia="zh-CN"/>
        </w:rPr>
        <w:t xml:space="preserve">5.6  </w:t>
      </w:r>
      <w:r>
        <w:rPr>
          <w:sz w:val="21"/>
          <w:szCs w:val="21"/>
        </w:rPr>
        <w:t>现场监测要求</w:t>
      </w:r>
    </w:p>
    <w:p w14:paraId="045C7C2A">
      <w:pPr>
        <w:pStyle w:val="2"/>
        <w:numPr>
          <w:ilvl w:val="0"/>
          <w:numId w:val="0"/>
        </w:numPr>
        <w:snapToGrid w:val="0"/>
        <w:spacing w:before="120" w:after="120" w:line="288" w:lineRule="auto"/>
        <w:jc w:val="both"/>
        <w:rPr>
          <w:rFonts w:hint="default"/>
          <w:sz w:val="21"/>
          <w:szCs w:val="21"/>
        </w:rPr>
      </w:pPr>
      <w:r>
        <w:rPr>
          <w:rFonts w:hint="eastAsia"/>
          <w:sz w:val="21"/>
          <w:szCs w:val="21"/>
          <w:lang w:eastAsia="zh-CN"/>
        </w:rPr>
        <w:t>5.6</w:t>
      </w:r>
      <w:r>
        <w:rPr>
          <w:sz w:val="21"/>
          <w:szCs w:val="21"/>
        </w:rPr>
        <w:t>.1</w:t>
      </w:r>
      <w:r>
        <w:rPr>
          <w:rFonts w:hint="eastAsia"/>
          <w:sz w:val="21"/>
          <w:szCs w:val="21"/>
          <w:lang w:val="en-US" w:eastAsia="zh-CN"/>
        </w:rPr>
        <w:t xml:space="preserve">  </w:t>
      </w:r>
      <w:r>
        <w:rPr>
          <w:sz w:val="21"/>
          <w:szCs w:val="21"/>
        </w:rPr>
        <w:t>常见病监测要求</w:t>
      </w:r>
    </w:p>
    <w:p w14:paraId="1A72ABC5">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.1.1 </w:t>
      </w:r>
      <w:r>
        <w:rPr>
          <w:rFonts w:cs="宋体"/>
          <w:color w:val="000000"/>
          <w:sz w:val="21"/>
          <w:szCs w:val="21"/>
        </w:rPr>
        <w:t>宜在集合区或候诊区（室）显著位置粘贴检查流程图、流程序号、项目名称及注意事项。</w:t>
      </w:r>
    </w:p>
    <w:p w14:paraId="0A6BB131">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.1.2 </w:t>
      </w:r>
      <w:r>
        <w:rPr>
          <w:rFonts w:cs="宋体"/>
          <w:color w:val="000000"/>
          <w:sz w:val="21"/>
          <w:szCs w:val="21"/>
        </w:rPr>
        <w:t>健康检查宜以班级为单位在候诊区（室）集合后依序进入监测场地，各检查室宜控制人数。</w:t>
      </w:r>
    </w:p>
    <w:p w14:paraId="41DB7C60">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.1.3 </w:t>
      </w:r>
      <w:r>
        <w:rPr>
          <w:rFonts w:cs="宋体"/>
          <w:color w:val="000000"/>
          <w:sz w:val="21"/>
          <w:szCs w:val="21"/>
        </w:rPr>
        <w:t>需要男女生分开检查的项目，应安排与儿童青少年同性别的检查人员进行。</w:t>
      </w:r>
    </w:p>
    <w:p w14:paraId="3D0E8363">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.1.4 </w:t>
      </w:r>
      <w:r>
        <w:rPr>
          <w:rFonts w:cs="宋体"/>
          <w:color w:val="000000"/>
          <w:sz w:val="21"/>
          <w:szCs w:val="21"/>
        </w:rPr>
        <w:t>应有指定人员核实儿童青少年检查项目完成情况。</w:t>
      </w:r>
    </w:p>
    <w:p w14:paraId="2078D1DB">
      <w:pPr>
        <w:pStyle w:val="2"/>
        <w:numPr>
          <w:ilvl w:val="0"/>
          <w:numId w:val="0"/>
        </w:numPr>
        <w:snapToGrid w:val="0"/>
        <w:spacing w:before="120" w:after="120" w:line="288" w:lineRule="auto"/>
        <w:jc w:val="both"/>
        <w:rPr>
          <w:rFonts w:hint="default"/>
          <w:sz w:val="21"/>
          <w:szCs w:val="21"/>
        </w:rPr>
      </w:pPr>
      <w:r>
        <w:rPr>
          <w:rFonts w:hint="eastAsia"/>
          <w:sz w:val="21"/>
          <w:szCs w:val="21"/>
          <w:lang w:eastAsia="zh-CN"/>
        </w:rPr>
        <w:t>5.6</w:t>
      </w:r>
      <w:r>
        <w:rPr>
          <w:sz w:val="21"/>
          <w:szCs w:val="21"/>
        </w:rPr>
        <w:t>.2</w:t>
      </w:r>
      <w:r>
        <w:rPr>
          <w:rFonts w:hint="eastAsia"/>
          <w:sz w:val="21"/>
          <w:szCs w:val="21"/>
          <w:lang w:val="en-US" w:eastAsia="zh-CN"/>
        </w:rPr>
        <w:t xml:space="preserve">  </w:t>
      </w:r>
      <w:r>
        <w:rPr>
          <w:sz w:val="21"/>
          <w:szCs w:val="21"/>
        </w:rPr>
        <w:t>健康影响因素监测要求</w:t>
      </w:r>
    </w:p>
    <w:p w14:paraId="37FCD673">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.2.1 </w:t>
      </w:r>
      <w:r>
        <w:rPr>
          <w:rFonts w:cs="宋体"/>
          <w:color w:val="000000"/>
          <w:sz w:val="21"/>
          <w:szCs w:val="21"/>
        </w:rPr>
        <w:t>做好儿童青少年编码分配，保证编码唯一性。</w:t>
      </w:r>
    </w:p>
    <w:p w14:paraId="4C9A6B00">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.2.2 </w:t>
      </w:r>
      <w:r>
        <w:rPr>
          <w:rFonts w:cs="宋体"/>
          <w:color w:val="000000"/>
          <w:sz w:val="21"/>
          <w:szCs w:val="21"/>
        </w:rPr>
        <w:t>问卷调查前应确认调查开展的时间、地点、年级、班级、人数。</w:t>
      </w:r>
    </w:p>
    <w:p w14:paraId="7FC27901">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.2.3 </w:t>
      </w:r>
      <w:r>
        <w:rPr>
          <w:rFonts w:cs="宋体"/>
          <w:color w:val="000000"/>
          <w:sz w:val="21"/>
          <w:szCs w:val="21"/>
        </w:rPr>
        <w:t>可对儿童青少年提出的问题进行解答，在调查过程中应避免频繁走动。</w:t>
      </w:r>
    </w:p>
    <w:p w14:paraId="431761FB">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.2.4 </w:t>
      </w:r>
      <w:r>
        <w:rPr>
          <w:rFonts w:cs="宋体"/>
          <w:color w:val="000000"/>
          <w:sz w:val="21"/>
          <w:szCs w:val="21"/>
        </w:rPr>
        <w:t>纸质问卷收卷时应核查儿童青少年关键信息完整性，发现缺项应要求现场补填。</w:t>
      </w:r>
    </w:p>
    <w:p w14:paraId="69FBFD2F">
      <w:pPr>
        <w:pStyle w:val="2"/>
        <w:numPr>
          <w:ilvl w:val="0"/>
          <w:numId w:val="0"/>
        </w:numPr>
        <w:snapToGrid w:val="0"/>
        <w:spacing w:before="120" w:after="120" w:line="288" w:lineRule="auto"/>
        <w:jc w:val="both"/>
        <w:rPr>
          <w:rFonts w:hint="default"/>
          <w:sz w:val="21"/>
          <w:szCs w:val="21"/>
        </w:rPr>
      </w:pPr>
      <w:r>
        <w:rPr>
          <w:rFonts w:hint="eastAsia"/>
          <w:sz w:val="21"/>
          <w:szCs w:val="21"/>
          <w:lang w:eastAsia="zh-CN"/>
        </w:rPr>
        <w:t>5.6</w:t>
      </w:r>
      <w:r>
        <w:rPr>
          <w:sz w:val="21"/>
          <w:szCs w:val="21"/>
        </w:rPr>
        <w:t>.3</w:t>
      </w:r>
      <w:r>
        <w:rPr>
          <w:rFonts w:hint="eastAsia"/>
          <w:sz w:val="21"/>
          <w:szCs w:val="21"/>
          <w:lang w:val="en-US" w:eastAsia="zh-CN"/>
        </w:rPr>
        <w:t xml:space="preserve">  </w:t>
      </w:r>
      <w:r>
        <w:rPr>
          <w:sz w:val="21"/>
          <w:szCs w:val="21"/>
        </w:rPr>
        <w:t>学校环境影响因素监测要求</w:t>
      </w:r>
    </w:p>
    <w:p w14:paraId="50906A04">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.3.1 </w:t>
      </w:r>
      <w:r>
        <w:rPr>
          <w:rFonts w:cs="宋体"/>
          <w:color w:val="000000"/>
          <w:sz w:val="21"/>
          <w:szCs w:val="21"/>
        </w:rPr>
        <w:t>提前一天将仪器充好电，调整好设置，熟悉操作方法。</w:t>
      </w:r>
    </w:p>
    <w:p w14:paraId="7EF56AC6">
      <w:pPr>
        <w:snapToGrid w:val="0"/>
        <w:spacing w:line="288" w:lineRule="auto"/>
        <w:jc w:val="both"/>
        <w:rPr>
          <w:rFonts w:hint="default" w:cs="宋体"/>
          <w:color w:val="000000"/>
          <w:sz w:val="21"/>
          <w:szCs w:val="21"/>
        </w:rPr>
      </w:pPr>
      <w:r>
        <w:rPr>
          <w:rFonts w:hint="eastAsia" w:ascii="黑体" w:eastAsia="黑体" w:cs="黑体"/>
          <w:color w:val="000000"/>
          <w:sz w:val="21"/>
          <w:szCs w:val="21"/>
          <w:lang w:eastAsia="zh-CN"/>
        </w:rPr>
        <w:t>5.6</w:t>
      </w:r>
      <w:r>
        <w:rPr>
          <w:rFonts w:ascii="黑体" w:eastAsia="黑体" w:cs="黑体"/>
          <w:color w:val="000000"/>
          <w:sz w:val="21"/>
          <w:szCs w:val="21"/>
        </w:rPr>
        <w:t xml:space="preserve">.3.2 </w:t>
      </w:r>
      <w:r>
        <w:rPr>
          <w:rFonts w:cs="宋体"/>
          <w:color w:val="000000"/>
          <w:sz w:val="21"/>
          <w:szCs w:val="21"/>
        </w:rPr>
        <w:t>提前了解学校情况，对于没有遮光性较好窗帘的学校，建议全阴天开展监测（全阴天为整个天空被云遮挡，看不到太阳位置时的天空状况），或者自备遮光性较好的窗帘。</w:t>
      </w:r>
    </w:p>
    <w:p w14:paraId="7DC445F0">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sz w:val="21"/>
          <w:szCs w:val="21"/>
          <w:lang w:val="en-US" w:eastAsia="zh-CN"/>
        </w:rPr>
        <w:t>6</w:t>
      </w:r>
      <w:r>
        <w:rPr>
          <w:sz w:val="21"/>
          <w:szCs w:val="21"/>
        </w:rPr>
        <w:t xml:space="preserve"> 监测项目及方法</w:t>
      </w:r>
    </w:p>
    <w:p w14:paraId="6319712C">
      <w:pPr>
        <w:pStyle w:val="2"/>
        <w:numPr>
          <w:ilvl w:val="0"/>
          <w:numId w:val="0"/>
        </w:numPr>
        <w:snapToGrid w:val="0"/>
        <w:spacing w:before="120" w:after="120" w:line="288" w:lineRule="auto"/>
        <w:jc w:val="both"/>
        <w:rPr>
          <w:rFonts w:hint="default"/>
          <w:sz w:val="21"/>
          <w:szCs w:val="21"/>
        </w:rPr>
      </w:pPr>
      <w:r>
        <w:rPr>
          <w:sz w:val="21"/>
          <w:szCs w:val="21"/>
        </w:rPr>
        <w:t>6.1 中小学生常见病监测</w:t>
      </w:r>
    </w:p>
    <w:p w14:paraId="3E55E051">
      <w:pPr>
        <w:pStyle w:val="2"/>
        <w:numPr>
          <w:ilvl w:val="0"/>
          <w:numId w:val="0"/>
        </w:numPr>
        <w:snapToGrid w:val="0"/>
        <w:spacing w:before="120" w:after="120" w:line="288" w:lineRule="auto"/>
        <w:jc w:val="both"/>
        <w:rPr>
          <w:rFonts w:hint="default"/>
          <w:sz w:val="21"/>
          <w:szCs w:val="21"/>
        </w:rPr>
      </w:pPr>
      <w:r>
        <w:rPr>
          <w:sz w:val="21"/>
          <w:szCs w:val="21"/>
        </w:rPr>
        <w:t>6.1.1 形态指标检查</w:t>
      </w:r>
    </w:p>
    <w:p w14:paraId="576004F4">
      <w:pPr>
        <w:pStyle w:val="2"/>
        <w:numPr>
          <w:ilvl w:val="0"/>
          <w:numId w:val="0"/>
        </w:numPr>
        <w:snapToGrid w:val="0"/>
        <w:spacing w:before="120" w:after="120" w:line="288" w:lineRule="auto"/>
        <w:jc w:val="both"/>
        <w:rPr>
          <w:rFonts w:hint="default"/>
          <w:sz w:val="21"/>
          <w:szCs w:val="21"/>
        </w:rPr>
      </w:pPr>
      <w:r>
        <w:rPr>
          <w:sz w:val="21"/>
          <w:szCs w:val="21"/>
        </w:rPr>
        <w:t>6.1.1.1 身高</w:t>
      </w:r>
    </w:p>
    <w:p w14:paraId="74AAB8F2">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6.1.1.1.1 </w:t>
      </w:r>
      <w:r>
        <w:rPr>
          <w:rFonts w:cs="宋体"/>
          <w:color w:val="000000"/>
          <w:sz w:val="21"/>
          <w:szCs w:val="21"/>
        </w:rPr>
        <w:t>仪器使用机械式身高计。</w:t>
      </w:r>
    </w:p>
    <w:p w14:paraId="6C8D8E26">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6.1.1.1.2 </w:t>
      </w:r>
      <w:r>
        <w:rPr>
          <w:rFonts w:cs="宋体"/>
          <w:color w:val="000000"/>
          <w:sz w:val="21"/>
          <w:szCs w:val="21"/>
        </w:rPr>
        <w:t>按照GB/T26343的规定进行身高的测量。</w:t>
      </w:r>
    </w:p>
    <w:p w14:paraId="07759A8B">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6.1.1.1.3 </w:t>
      </w:r>
      <w:r>
        <w:rPr>
          <w:rFonts w:cs="宋体"/>
          <w:color w:val="000000"/>
          <w:sz w:val="21"/>
          <w:szCs w:val="21"/>
        </w:rPr>
        <w:t>按照WS/T612的规定进行身高发育等级的判定；按照WS/T456的规定进行</w:t>
      </w:r>
      <w:r>
        <w:rPr>
          <w:rFonts w:hint="eastAsia" w:cs="宋体"/>
          <w:color w:val="000000"/>
          <w:sz w:val="21"/>
          <w:szCs w:val="21"/>
          <w:lang w:val="en-US" w:eastAsia="zh-CN"/>
        </w:rPr>
        <w:t>生长迟缓</w:t>
      </w:r>
      <w:r>
        <w:rPr>
          <w:rFonts w:cs="宋体"/>
          <w:color w:val="000000"/>
          <w:sz w:val="21"/>
          <w:szCs w:val="21"/>
        </w:rPr>
        <w:t>的判定。</w:t>
      </w:r>
    </w:p>
    <w:p w14:paraId="06169554">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6.1.1.1.4 </w:t>
      </w:r>
      <w:r>
        <w:rPr>
          <w:rFonts w:cs="宋体"/>
          <w:color w:val="000000"/>
          <w:sz w:val="21"/>
          <w:szCs w:val="21"/>
        </w:rPr>
        <w:t>结果记录以厘米</w:t>
      </w:r>
      <w:r>
        <w:rPr>
          <w:rFonts w:hint="eastAsia" w:cs="宋体"/>
          <w:color w:val="000000"/>
          <w:sz w:val="21"/>
          <w:szCs w:val="21"/>
          <w:lang w:eastAsia="zh-CN"/>
        </w:rPr>
        <w:t>（</w:t>
      </w:r>
      <w:r>
        <w:rPr>
          <w:rFonts w:cs="宋体"/>
          <w:color w:val="000000"/>
          <w:sz w:val="21"/>
          <w:szCs w:val="21"/>
        </w:rPr>
        <w:t>cm</w:t>
      </w:r>
      <w:r>
        <w:rPr>
          <w:rFonts w:hint="eastAsia" w:cs="宋体"/>
          <w:color w:val="000000"/>
          <w:sz w:val="21"/>
          <w:szCs w:val="21"/>
          <w:lang w:eastAsia="zh-CN"/>
        </w:rPr>
        <w:t>）</w:t>
      </w:r>
      <w:r>
        <w:rPr>
          <w:rFonts w:cs="宋体"/>
          <w:color w:val="000000"/>
          <w:sz w:val="21"/>
          <w:szCs w:val="21"/>
        </w:rPr>
        <w:t>为单位，精确到小数点后1位。</w:t>
      </w:r>
    </w:p>
    <w:p w14:paraId="15670E24">
      <w:pPr>
        <w:pStyle w:val="2"/>
        <w:numPr>
          <w:ilvl w:val="0"/>
          <w:numId w:val="0"/>
        </w:numPr>
        <w:snapToGrid w:val="0"/>
        <w:spacing w:before="120" w:after="120" w:line="288" w:lineRule="auto"/>
        <w:jc w:val="both"/>
        <w:rPr>
          <w:rFonts w:hint="default"/>
          <w:sz w:val="21"/>
          <w:szCs w:val="21"/>
        </w:rPr>
      </w:pPr>
      <w:r>
        <w:rPr>
          <w:sz w:val="21"/>
          <w:szCs w:val="21"/>
        </w:rPr>
        <w:t>6.1.1.2 体重</w:t>
      </w:r>
    </w:p>
    <w:p w14:paraId="7B8C6FEA">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6.1.1.2.1 </w:t>
      </w:r>
      <w:r>
        <w:rPr>
          <w:rFonts w:cs="宋体"/>
          <w:color w:val="000000"/>
          <w:sz w:val="21"/>
          <w:szCs w:val="21"/>
        </w:rPr>
        <w:t>仪器使用电子体重计或杠杆秤，不允许使用弹簧式体重计。</w:t>
      </w:r>
    </w:p>
    <w:p w14:paraId="0F65043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6.1.1.2.2 </w:t>
      </w:r>
      <w:r>
        <w:rPr>
          <w:rFonts w:cs="宋体"/>
          <w:color w:val="000000"/>
          <w:sz w:val="21"/>
          <w:szCs w:val="21"/>
        </w:rPr>
        <w:t>按照GB/T26343的规定进行体重的测量。</w:t>
      </w:r>
    </w:p>
    <w:p w14:paraId="5D39D29F">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6.1.1.2.3 </w:t>
      </w:r>
      <w:r>
        <w:rPr>
          <w:rFonts w:cs="宋体"/>
          <w:color w:val="000000"/>
          <w:sz w:val="21"/>
          <w:szCs w:val="21"/>
        </w:rPr>
        <w:t>按照WS/T586、WS/T456的规定计算BMI值并进行超重、肥胖和消瘦的判定。</w:t>
      </w:r>
    </w:p>
    <w:p w14:paraId="3FE01D4D">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6.1.1.2.4 </w:t>
      </w:r>
      <w:r>
        <w:rPr>
          <w:rFonts w:cs="宋体"/>
          <w:color w:val="000000"/>
          <w:sz w:val="21"/>
          <w:szCs w:val="21"/>
        </w:rPr>
        <w:t>结果记录以千克（kg）为单位，精确到小数点后1位。</w:t>
      </w:r>
    </w:p>
    <w:p w14:paraId="2C524189">
      <w:pPr>
        <w:pStyle w:val="2"/>
        <w:numPr>
          <w:ilvl w:val="0"/>
          <w:numId w:val="0"/>
        </w:numPr>
        <w:snapToGrid w:val="0"/>
        <w:spacing w:before="120" w:after="120" w:line="288" w:lineRule="auto"/>
        <w:jc w:val="both"/>
        <w:rPr>
          <w:rFonts w:hint="default"/>
          <w:sz w:val="21"/>
          <w:szCs w:val="21"/>
        </w:rPr>
      </w:pPr>
      <w:r>
        <w:rPr>
          <w:sz w:val="21"/>
          <w:szCs w:val="21"/>
        </w:rPr>
        <w:t>6.1.1.3 腰围</w:t>
      </w:r>
    </w:p>
    <w:p w14:paraId="07C6C262">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6.1.1.3.1 </w:t>
      </w:r>
      <w:r>
        <w:rPr>
          <w:rFonts w:cs="宋体"/>
          <w:color w:val="000000"/>
          <w:sz w:val="21"/>
          <w:szCs w:val="21"/>
        </w:rPr>
        <w:t>仪器使用长度为1.5m，宽度为1cm，最小刻度为0.1cm尼龙带尺。</w:t>
      </w:r>
    </w:p>
    <w:p w14:paraId="7C2642A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6.1.1.3.2 </w:t>
      </w:r>
      <w:r>
        <w:rPr>
          <w:rFonts w:cs="宋体"/>
          <w:color w:val="000000"/>
          <w:sz w:val="21"/>
          <w:szCs w:val="21"/>
        </w:rPr>
        <w:t>按照GB/T26343的规定进行腰围的测量。</w:t>
      </w:r>
    </w:p>
    <w:p w14:paraId="36CA407B">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6.1.1.3.3 </w:t>
      </w:r>
      <w:r>
        <w:rPr>
          <w:rFonts w:cs="宋体"/>
          <w:color w:val="000000"/>
          <w:sz w:val="21"/>
          <w:szCs w:val="21"/>
        </w:rPr>
        <w:t>按照WS/T611的规定进行正常腰围高值和高腰围判定。</w:t>
      </w:r>
    </w:p>
    <w:p w14:paraId="5E01437B">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6.1.1.3.4 </w:t>
      </w:r>
      <w:r>
        <w:rPr>
          <w:rFonts w:cs="宋体"/>
          <w:color w:val="000000"/>
          <w:sz w:val="21"/>
          <w:szCs w:val="21"/>
        </w:rPr>
        <w:t>结果记录以厘米</w:t>
      </w:r>
      <w:r>
        <w:rPr>
          <w:rFonts w:hint="eastAsia" w:cs="宋体"/>
          <w:color w:val="000000"/>
          <w:sz w:val="21"/>
          <w:szCs w:val="21"/>
          <w:lang w:eastAsia="zh-CN"/>
        </w:rPr>
        <w:t>（</w:t>
      </w:r>
      <w:r>
        <w:rPr>
          <w:rFonts w:cs="宋体"/>
          <w:color w:val="000000"/>
          <w:sz w:val="21"/>
          <w:szCs w:val="21"/>
        </w:rPr>
        <w:t>cm</w:t>
      </w:r>
      <w:r>
        <w:rPr>
          <w:rFonts w:hint="eastAsia" w:cs="宋体"/>
          <w:color w:val="000000"/>
          <w:sz w:val="21"/>
          <w:szCs w:val="21"/>
          <w:lang w:eastAsia="zh-CN"/>
        </w:rPr>
        <w:t>）</w:t>
      </w:r>
      <w:r>
        <w:rPr>
          <w:rFonts w:cs="宋体"/>
          <w:color w:val="000000"/>
          <w:sz w:val="21"/>
          <w:szCs w:val="21"/>
        </w:rPr>
        <w:t>为单位，精确到小数点后1位。</w:t>
      </w:r>
    </w:p>
    <w:p w14:paraId="366FFAD7">
      <w:pPr>
        <w:pStyle w:val="2"/>
        <w:numPr>
          <w:ilvl w:val="0"/>
          <w:numId w:val="0"/>
        </w:numPr>
        <w:snapToGrid w:val="0"/>
        <w:spacing w:before="120" w:after="120" w:line="288" w:lineRule="auto"/>
        <w:jc w:val="both"/>
        <w:rPr>
          <w:rFonts w:hint="default"/>
          <w:sz w:val="21"/>
          <w:szCs w:val="21"/>
        </w:rPr>
      </w:pPr>
      <w:r>
        <w:rPr>
          <w:sz w:val="21"/>
          <w:szCs w:val="21"/>
        </w:rPr>
        <w:t>6.1.1.4 臀围</w:t>
      </w:r>
    </w:p>
    <w:p w14:paraId="513D455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6.1.1.4.1 </w:t>
      </w:r>
      <w:r>
        <w:rPr>
          <w:rFonts w:cs="宋体"/>
          <w:color w:val="000000"/>
          <w:sz w:val="21"/>
          <w:szCs w:val="21"/>
        </w:rPr>
        <w:t>仪器使用长度为1.5m，宽度为1cm，最小刻度为0.1cm尼龙带尺。</w:t>
      </w:r>
    </w:p>
    <w:p w14:paraId="02B77BC6">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6.1.1.4.2 </w:t>
      </w:r>
      <w:r>
        <w:rPr>
          <w:rFonts w:cs="宋体"/>
          <w:color w:val="000000"/>
          <w:sz w:val="21"/>
          <w:szCs w:val="21"/>
        </w:rPr>
        <w:t>按照GB/T26343的规定进行臀围的测量。</w:t>
      </w:r>
    </w:p>
    <w:p w14:paraId="4162A7DE">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6.1.1.4.3 </w:t>
      </w:r>
      <w:r>
        <w:rPr>
          <w:rFonts w:cs="宋体"/>
          <w:color w:val="000000"/>
          <w:sz w:val="21"/>
          <w:szCs w:val="21"/>
        </w:rPr>
        <w:t>结果取最大值记录</w:t>
      </w:r>
      <w:r>
        <w:rPr>
          <w:rFonts w:hint="eastAsia" w:cs="宋体"/>
          <w:color w:val="000000"/>
          <w:sz w:val="21"/>
          <w:szCs w:val="21"/>
          <w:lang w:eastAsia="zh-CN"/>
        </w:rPr>
        <w:t>，</w:t>
      </w:r>
      <w:r>
        <w:rPr>
          <w:rFonts w:cs="宋体"/>
          <w:color w:val="000000"/>
          <w:sz w:val="21"/>
          <w:szCs w:val="21"/>
        </w:rPr>
        <w:t>以厘米为单位</w:t>
      </w:r>
      <w:r>
        <w:rPr>
          <w:rFonts w:hint="eastAsia" w:cs="宋体"/>
          <w:color w:val="000000"/>
          <w:sz w:val="21"/>
          <w:szCs w:val="21"/>
          <w:lang w:eastAsia="zh-CN"/>
        </w:rPr>
        <w:t>，</w:t>
      </w:r>
      <w:r>
        <w:rPr>
          <w:rFonts w:cs="宋体"/>
          <w:color w:val="000000"/>
          <w:sz w:val="21"/>
          <w:szCs w:val="21"/>
        </w:rPr>
        <w:t>精确到小数点后1位。</w:t>
      </w:r>
    </w:p>
    <w:p w14:paraId="7986698D">
      <w:pPr>
        <w:pStyle w:val="2"/>
        <w:numPr>
          <w:ilvl w:val="0"/>
          <w:numId w:val="0"/>
        </w:numPr>
        <w:snapToGrid w:val="0"/>
        <w:spacing w:before="120" w:after="120" w:line="288" w:lineRule="auto"/>
        <w:jc w:val="both"/>
        <w:rPr>
          <w:rFonts w:hint="default"/>
          <w:sz w:val="21"/>
          <w:szCs w:val="21"/>
        </w:rPr>
      </w:pPr>
      <w:r>
        <w:rPr>
          <w:sz w:val="21"/>
          <w:szCs w:val="21"/>
        </w:rPr>
        <w:t>6.1.2 内科检查</w:t>
      </w:r>
    </w:p>
    <w:p w14:paraId="7BF82E6D">
      <w:pPr>
        <w:pStyle w:val="2"/>
        <w:numPr>
          <w:ilvl w:val="0"/>
          <w:numId w:val="0"/>
        </w:numPr>
        <w:snapToGrid w:val="0"/>
        <w:spacing w:before="120" w:after="120" w:line="288" w:lineRule="auto"/>
        <w:jc w:val="both"/>
        <w:rPr>
          <w:rFonts w:hint="default"/>
          <w:sz w:val="21"/>
          <w:szCs w:val="21"/>
        </w:rPr>
      </w:pPr>
      <w:r>
        <w:rPr>
          <w:sz w:val="21"/>
          <w:szCs w:val="21"/>
        </w:rPr>
        <w:t>6.1.2.1 心脏</w:t>
      </w:r>
    </w:p>
    <w:p w14:paraId="1012494D">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6.1.2.1.1 </w:t>
      </w:r>
      <w:r>
        <w:rPr>
          <w:rFonts w:cs="宋体"/>
          <w:color w:val="000000"/>
          <w:sz w:val="21"/>
          <w:szCs w:val="21"/>
        </w:rPr>
        <w:t>按照GB/T26343的规定进行心脏的</w:t>
      </w:r>
      <w:r>
        <w:rPr>
          <w:rFonts w:hint="eastAsia" w:cs="宋体"/>
          <w:color w:val="000000"/>
          <w:sz w:val="21"/>
          <w:szCs w:val="21"/>
          <w:lang w:val="en-US" w:eastAsia="zh-CN"/>
        </w:rPr>
        <w:t>检查</w:t>
      </w:r>
      <w:r>
        <w:rPr>
          <w:rFonts w:cs="宋体"/>
          <w:color w:val="000000"/>
          <w:sz w:val="21"/>
          <w:szCs w:val="21"/>
        </w:rPr>
        <w:t>。</w:t>
      </w:r>
    </w:p>
    <w:p w14:paraId="4A86EC1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6.1.2.1.2 </w:t>
      </w:r>
      <w:r>
        <w:rPr>
          <w:rFonts w:cs="宋体"/>
          <w:color w:val="000000"/>
          <w:sz w:val="21"/>
          <w:szCs w:val="21"/>
        </w:rPr>
        <w:t>记录视诊、触诊、叩诊、听诊检查发现的阳性体征。其中</w:t>
      </w:r>
      <w:r>
        <w:rPr>
          <w:rFonts w:hint="eastAsia" w:cs="宋体"/>
          <w:color w:val="000000"/>
          <w:sz w:val="21"/>
          <w:szCs w:val="21"/>
          <w:lang w:eastAsia="zh-CN"/>
        </w:rPr>
        <w:t>，</w:t>
      </w:r>
      <w:r>
        <w:rPr>
          <w:rFonts w:cs="宋体"/>
          <w:color w:val="000000"/>
          <w:sz w:val="21"/>
          <w:szCs w:val="21"/>
        </w:rPr>
        <w:t>心脏杂音分部位、时期、响度、性质与传导进行记录。</w:t>
      </w:r>
    </w:p>
    <w:p w14:paraId="6B3A6F36">
      <w:pPr>
        <w:pStyle w:val="2"/>
        <w:numPr>
          <w:ilvl w:val="0"/>
          <w:numId w:val="0"/>
        </w:numPr>
        <w:snapToGrid w:val="0"/>
        <w:spacing w:before="120" w:after="120" w:line="288" w:lineRule="auto"/>
        <w:jc w:val="both"/>
        <w:rPr>
          <w:rFonts w:hint="default"/>
          <w:sz w:val="21"/>
          <w:szCs w:val="21"/>
        </w:rPr>
      </w:pPr>
      <w:r>
        <w:rPr>
          <w:sz w:val="21"/>
          <w:szCs w:val="21"/>
        </w:rPr>
        <w:t>6.1.2.2 肺</w:t>
      </w:r>
    </w:p>
    <w:p w14:paraId="15E95E50">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6.1.2.2.1 </w:t>
      </w:r>
      <w:r>
        <w:rPr>
          <w:rFonts w:cs="宋体"/>
          <w:color w:val="000000"/>
          <w:sz w:val="21"/>
          <w:szCs w:val="21"/>
        </w:rPr>
        <w:t>按照GB/T26343的规定进行肺的</w:t>
      </w:r>
      <w:r>
        <w:rPr>
          <w:rFonts w:hint="eastAsia" w:cs="宋体"/>
          <w:color w:val="000000"/>
          <w:sz w:val="21"/>
          <w:szCs w:val="21"/>
          <w:lang w:val="en-US" w:eastAsia="zh-CN"/>
        </w:rPr>
        <w:t>检查</w:t>
      </w:r>
      <w:r>
        <w:rPr>
          <w:rFonts w:cs="宋体"/>
          <w:color w:val="000000"/>
          <w:sz w:val="21"/>
          <w:szCs w:val="21"/>
        </w:rPr>
        <w:t>。</w:t>
      </w:r>
    </w:p>
    <w:p w14:paraId="5AEEEF20">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6.1.2.2.2 </w:t>
      </w:r>
      <w:r>
        <w:rPr>
          <w:rFonts w:cs="宋体"/>
          <w:color w:val="000000"/>
          <w:sz w:val="21"/>
          <w:szCs w:val="21"/>
        </w:rPr>
        <w:t>记录检查发现的阳性体征。</w:t>
      </w:r>
    </w:p>
    <w:p w14:paraId="786221D1">
      <w:pPr>
        <w:pStyle w:val="2"/>
        <w:numPr>
          <w:ilvl w:val="0"/>
          <w:numId w:val="0"/>
        </w:numPr>
        <w:snapToGrid w:val="0"/>
        <w:spacing w:before="120" w:after="120" w:line="288" w:lineRule="auto"/>
        <w:jc w:val="both"/>
        <w:rPr>
          <w:rFonts w:hint="default"/>
          <w:sz w:val="21"/>
          <w:szCs w:val="21"/>
        </w:rPr>
      </w:pPr>
      <w:r>
        <w:rPr>
          <w:sz w:val="21"/>
          <w:szCs w:val="21"/>
        </w:rPr>
        <w:t>6.1.2.3 肝</w:t>
      </w:r>
    </w:p>
    <w:p w14:paraId="60E2F51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6.1.2.3.1 </w:t>
      </w:r>
      <w:r>
        <w:rPr>
          <w:rFonts w:cs="宋体"/>
          <w:color w:val="000000"/>
          <w:sz w:val="21"/>
          <w:szCs w:val="21"/>
        </w:rPr>
        <w:t>按照GB/T26343的规定进行肝的</w:t>
      </w:r>
      <w:r>
        <w:rPr>
          <w:rFonts w:hint="eastAsia" w:cs="宋体"/>
          <w:color w:val="000000"/>
          <w:sz w:val="21"/>
          <w:szCs w:val="21"/>
          <w:lang w:val="en-US" w:eastAsia="zh-CN"/>
        </w:rPr>
        <w:t>检查</w:t>
      </w:r>
      <w:r>
        <w:rPr>
          <w:rFonts w:cs="宋体"/>
          <w:color w:val="000000"/>
          <w:sz w:val="21"/>
          <w:szCs w:val="21"/>
        </w:rPr>
        <w:t>。</w:t>
      </w:r>
    </w:p>
    <w:p w14:paraId="6D1713F4">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6.1.2.3.2  结果记录</w:t>
      </w:r>
    </w:p>
    <w:p w14:paraId="4F2245D7">
      <w:pPr>
        <w:pStyle w:val="19"/>
        <w:numPr>
          <w:ilvl w:val="0"/>
          <w:numId w:val="6"/>
        </w:numPr>
        <w:tabs>
          <w:tab w:val="left" w:pos="0"/>
        </w:tabs>
        <w:snapToGrid w:val="0"/>
        <w:spacing w:line="288" w:lineRule="auto"/>
        <w:jc w:val="both"/>
        <w:rPr>
          <w:rFonts w:hint="default" w:cs="宋体"/>
          <w:color w:val="000000"/>
          <w:sz w:val="21"/>
          <w:szCs w:val="21"/>
        </w:rPr>
      </w:pPr>
      <w:r>
        <w:rPr>
          <w:rFonts w:hint="default" w:cs="宋体"/>
          <w:color w:val="000000"/>
          <w:sz w:val="21"/>
          <w:szCs w:val="21"/>
        </w:rPr>
        <w:t>肝脏肿大</w:t>
      </w:r>
      <w:r>
        <w:rPr>
          <w:rFonts w:hint="eastAsia" w:cs="宋体"/>
          <w:color w:val="000000"/>
          <w:sz w:val="21"/>
          <w:szCs w:val="21"/>
          <w:lang w:eastAsia="zh-CN"/>
        </w:rPr>
        <w:t>：</w:t>
      </w:r>
      <w:r>
        <w:rPr>
          <w:rFonts w:hint="default" w:cs="宋体"/>
          <w:color w:val="000000"/>
          <w:sz w:val="21"/>
          <w:szCs w:val="21"/>
        </w:rPr>
        <w:t>剑突下大小测量前正中线上剑突至肝下缘距离</w:t>
      </w:r>
      <w:r>
        <w:rPr>
          <w:rFonts w:hint="eastAsia" w:cs="宋体"/>
          <w:color w:val="000000"/>
          <w:sz w:val="21"/>
          <w:szCs w:val="21"/>
          <w:lang w:eastAsia="zh-CN"/>
        </w:rPr>
        <w:t>，</w:t>
      </w:r>
      <w:r>
        <w:rPr>
          <w:rFonts w:hint="default" w:cs="宋体"/>
          <w:color w:val="000000"/>
          <w:sz w:val="21"/>
          <w:szCs w:val="21"/>
        </w:rPr>
        <w:t>肋下大小测定右锁骨中线上肋弓缘至肝下缘距离</w:t>
      </w:r>
      <w:r>
        <w:rPr>
          <w:rFonts w:hint="eastAsia" w:cs="宋体"/>
          <w:color w:val="000000"/>
          <w:sz w:val="21"/>
          <w:szCs w:val="21"/>
          <w:lang w:eastAsia="zh-CN"/>
        </w:rPr>
        <w:t>，</w:t>
      </w:r>
      <w:r>
        <w:rPr>
          <w:rFonts w:hint="default" w:cs="宋体"/>
          <w:color w:val="000000"/>
          <w:sz w:val="21"/>
          <w:szCs w:val="21"/>
        </w:rPr>
        <w:t>以厘米为单位进行记录。</w:t>
      </w:r>
    </w:p>
    <w:p w14:paraId="65E7772E">
      <w:pPr>
        <w:pStyle w:val="19"/>
        <w:numPr>
          <w:ilvl w:val="0"/>
          <w:numId w:val="6"/>
        </w:numPr>
        <w:tabs>
          <w:tab w:val="left" w:pos="0"/>
        </w:tabs>
        <w:snapToGrid w:val="0"/>
        <w:spacing w:line="288" w:lineRule="auto"/>
        <w:jc w:val="both"/>
        <w:rPr>
          <w:rFonts w:hint="default" w:cs="宋体"/>
          <w:color w:val="000000"/>
          <w:sz w:val="21"/>
          <w:szCs w:val="21"/>
        </w:rPr>
      </w:pPr>
      <w:r>
        <w:rPr>
          <w:rFonts w:hint="default" w:cs="宋体"/>
          <w:color w:val="000000"/>
          <w:sz w:val="21"/>
          <w:szCs w:val="21"/>
        </w:rPr>
        <w:t>肝脏硬度分为3度</w:t>
      </w:r>
      <w:r>
        <w:rPr>
          <w:rFonts w:cs="宋体"/>
          <w:color w:val="000000"/>
          <w:sz w:val="21"/>
          <w:szCs w:val="21"/>
        </w:rPr>
        <w:t>：</w:t>
      </w:r>
      <w:r>
        <w:rPr>
          <w:rFonts w:hint="default" w:cs="宋体"/>
          <w:color w:val="000000"/>
          <w:sz w:val="21"/>
          <w:szCs w:val="21"/>
        </w:rPr>
        <w:t>肝脏柔软</w:t>
      </w:r>
      <w:r>
        <w:rPr>
          <w:rFonts w:hint="eastAsia" w:cs="宋体"/>
          <w:color w:val="000000"/>
          <w:sz w:val="21"/>
          <w:szCs w:val="21"/>
          <w:lang w:eastAsia="zh-CN"/>
        </w:rPr>
        <w:t>，</w:t>
      </w:r>
      <w:r>
        <w:rPr>
          <w:rFonts w:hint="default" w:cs="宋体"/>
          <w:color w:val="000000"/>
          <w:sz w:val="21"/>
          <w:szCs w:val="21"/>
        </w:rPr>
        <w:t>如手指按口唇为I</w:t>
      </w:r>
      <w:r>
        <w:rPr>
          <w:rFonts w:cs="宋体"/>
          <w:color w:val="000000"/>
          <w:sz w:val="21"/>
          <w:szCs w:val="21"/>
        </w:rPr>
        <w:t>度</w:t>
      </w:r>
      <w:r>
        <w:rPr>
          <w:rFonts w:hint="eastAsia" w:cs="宋体"/>
          <w:color w:val="000000"/>
          <w:sz w:val="21"/>
          <w:szCs w:val="21"/>
          <w:lang w:eastAsia="zh-CN"/>
        </w:rPr>
        <w:t>；</w:t>
      </w:r>
      <w:r>
        <w:rPr>
          <w:rFonts w:hint="default" w:cs="宋体"/>
          <w:color w:val="000000"/>
          <w:sz w:val="21"/>
          <w:szCs w:val="21"/>
        </w:rPr>
        <w:t>肝脏质韧</w:t>
      </w:r>
      <w:r>
        <w:rPr>
          <w:rFonts w:hint="eastAsia" w:cs="宋体"/>
          <w:color w:val="000000"/>
          <w:sz w:val="21"/>
          <w:szCs w:val="21"/>
          <w:lang w:eastAsia="zh-CN"/>
        </w:rPr>
        <w:t>，</w:t>
      </w:r>
      <w:r>
        <w:rPr>
          <w:rFonts w:hint="default" w:cs="宋体"/>
          <w:color w:val="000000"/>
          <w:sz w:val="21"/>
          <w:szCs w:val="21"/>
        </w:rPr>
        <w:t>如按鼻尖的硬度为Ⅱ度</w:t>
      </w:r>
      <w:r>
        <w:rPr>
          <w:rFonts w:hint="eastAsia" w:cs="宋体"/>
          <w:color w:val="000000"/>
          <w:sz w:val="21"/>
          <w:szCs w:val="21"/>
          <w:lang w:eastAsia="zh-CN"/>
        </w:rPr>
        <w:t>；</w:t>
      </w:r>
      <w:r>
        <w:rPr>
          <w:rFonts w:hint="default" w:cs="宋体"/>
          <w:color w:val="000000"/>
          <w:sz w:val="21"/>
          <w:szCs w:val="21"/>
        </w:rPr>
        <w:t>肝脏质硬</w:t>
      </w:r>
      <w:r>
        <w:rPr>
          <w:rFonts w:hint="eastAsia" w:cs="宋体"/>
          <w:color w:val="000000"/>
          <w:sz w:val="21"/>
          <w:szCs w:val="21"/>
          <w:lang w:eastAsia="zh-CN"/>
        </w:rPr>
        <w:t>，</w:t>
      </w:r>
      <w:r>
        <w:rPr>
          <w:rFonts w:hint="default" w:cs="宋体"/>
          <w:color w:val="000000"/>
          <w:sz w:val="21"/>
          <w:szCs w:val="21"/>
        </w:rPr>
        <w:t>如按前额的硬度为Ⅲ度。</w:t>
      </w:r>
    </w:p>
    <w:p w14:paraId="77A5AE2E">
      <w:pPr>
        <w:pStyle w:val="19"/>
        <w:numPr>
          <w:ilvl w:val="0"/>
          <w:numId w:val="6"/>
        </w:numPr>
        <w:tabs>
          <w:tab w:val="left" w:pos="0"/>
        </w:tabs>
        <w:snapToGrid w:val="0"/>
        <w:spacing w:line="288" w:lineRule="auto"/>
        <w:jc w:val="both"/>
        <w:rPr>
          <w:rFonts w:hint="default" w:cs="宋体"/>
          <w:color w:val="000000"/>
          <w:sz w:val="21"/>
          <w:szCs w:val="21"/>
        </w:rPr>
      </w:pPr>
      <w:r>
        <w:rPr>
          <w:rFonts w:hint="default" w:cs="宋体"/>
          <w:color w:val="000000"/>
          <w:sz w:val="21"/>
          <w:szCs w:val="21"/>
        </w:rPr>
        <w:t>肝脏表面及边缘</w:t>
      </w:r>
      <w:r>
        <w:rPr>
          <w:rFonts w:hint="eastAsia" w:cs="宋体"/>
          <w:color w:val="000000"/>
          <w:sz w:val="21"/>
          <w:szCs w:val="21"/>
          <w:lang w:eastAsia="zh-CN"/>
        </w:rPr>
        <w:t>：</w:t>
      </w:r>
      <w:r>
        <w:rPr>
          <w:rFonts w:hint="default" w:cs="宋体"/>
          <w:color w:val="000000"/>
          <w:sz w:val="21"/>
          <w:szCs w:val="21"/>
        </w:rPr>
        <w:t>表面是否光滑</w:t>
      </w:r>
      <w:r>
        <w:rPr>
          <w:rFonts w:hint="eastAsia" w:cs="宋体"/>
          <w:color w:val="000000"/>
          <w:sz w:val="21"/>
          <w:szCs w:val="21"/>
          <w:lang w:eastAsia="zh-CN"/>
        </w:rPr>
        <w:t>，</w:t>
      </w:r>
      <w:r>
        <w:rPr>
          <w:rFonts w:hint="default" w:cs="宋体"/>
          <w:color w:val="000000"/>
          <w:sz w:val="21"/>
          <w:szCs w:val="21"/>
        </w:rPr>
        <w:t>有无结节</w:t>
      </w:r>
      <w:r>
        <w:rPr>
          <w:rFonts w:hint="eastAsia" w:cs="宋体"/>
          <w:color w:val="000000"/>
          <w:sz w:val="21"/>
          <w:szCs w:val="21"/>
          <w:lang w:eastAsia="zh-CN"/>
        </w:rPr>
        <w:t>，</w:t>
      </w:r>
      <w:r>
        <w:rPr>
          <w:rFonts w:hint="default" w:cs="宋体"/>
          <w:color w:val="000000"/>
          <w:sz w:val="21"/>
          <w:szCs w:val="21"/>
        </w:rPr>
        <w:t>边缘是否整齐。</w:t>
      </w:r>
    </w:p>
    <w:p w14:paraId="54FFFFAE">
      <w:pPr>
        <w:pStyle w:val="2"/>
        <w:numPr>
          <w:ilvl w:val="0"/>
          <w:numId w:val="0"/>
        </w:numPr>
        <w:snapToGrid w:val="0"/>
        <w:spacing w:before="120" w:after="120" w:line="288" w:lineRule="auto"/>
        <w:jc w:val="both"/>
        <w:rPr>
          <w:rFonts w:hint="default"/>
          <w:sz w:val="21"/>
          <w:szCs w:val="21"/>
        </w:rPr>
      </w:pPr>
      <w:r>
        <w:rPr>
          <w:sz w:val="21"/>
          <w:szCs w:val="21"/>
        </w:rPr>
        <w:t>6.1.2.4 脾</w:t>
      </w:r>
    </w:p>
    <w:p w14:paraId="43B8274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6.1.2.4.1 </w:t>
      </w:r>
      <w:r>
        <w:rPr>
          <w:rFonts w:cs="宋体"/>
          <w:color w:val="000000"/>
          <w:sz w:val="21"/>
          <w:szCs w:val="21"/>
        </w:rPr>
        <w:t>按照GB/T26343的规定进行脾的</w:t>
      </w:r>
      <w:r>
        <w:rPr>
          <w:rFonts w:hint="eastAsia" w:cs="宋体"/>
          <w:color w:val="000000"/>
          <w:sz w:val="21"/>
          <w:szCs w:val="21"/>
          <w:lang w:val="en-US" w:eastAsia="zh-CN"/>
        </w:rPr>
        <w:t>检查</w:t>
      </w:r>
      <w:r>
        <w:rPr>
          <w:rFonts w:cs="宋体"/>
          <w:color w:val="000000"/>
          <w:sz w:val="21"/>
          <w:szCs w:val="21"/>
        </w:rPr>
        <w:t>。</w:t>
      </w:r>
    </w:p>
    <w:p w14:paraId="0D4FD256">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6.1.2.4.2 </w:t>
      </w:r>
      <w:r>
        <w:rPr>
          <w:rFonts w:hint="eastAsia" w:ascii="黑体" w:eastAsia="黑体" w:cs="黑体"/>
          <w:color w:val="000000"/>
          <w:sz w:val="21"/>
          <w:szCs w:val="21"/>
          <w:lang w:eastAsia="zh-CN"/>
        </w:rPr>
        <w:t>脾大</w:t>
      </w:r>
      <w:r>
        <w:rPr>
          <w:rFonts w:cs="宋体"/>
          <w:color w:val="000000"/>
          <w:sz w:val="21"/>
          <w:szCs w:val="21"/>
        </w:rPr>
        <w:t>分度记录</w:t>
      </w:r>
      <w:r>
        <w:rPr>
          <w:rFonts w:hint="eastAsia" w:cs="宋体"/>
          <w:color w:val="000000"/>
          <w:sz w:val="21"/>
          <w:szCs w:val="21"/>
          <w:lang w:eastAsia="zh-CN"/>
        </w:rPr>
        <w:t>：</w:t>
      </w:r>
      <w:r>
        <w:rPr>
          <w:rFonts w:cs="宋体"/>
          <w:color w:val="000000"/>
          <w:sz w:val="21"/>
          <w:szCs w:val="21"/>
        </w:rPr>
        <w:t>脾下缘不超过肋下2cm为轻度肿大</w:t>
      </w:r>
      <w:r>
        <w:rPr>
          <w:rFonts w:hint="eastAsia" w:cs="宋体"/>
          <w:color w:val="000000"/>
          <w:sz w:val="21"/>
          <w:szCs w:val="21"/>
          <w:lang w:eastAsia="zh-CN"/>
        </w:rPr>
        <w:t>；</w:t>
      </w:r>
      <w:r>
        <w:rPr>
          <w:rFonts w:cs="宋体"/>
          <w:color w:val="000000"/>
          <w:sz w:val="21"/>
          <w:szCs w:val="21"/>
        </w:rPr>
        <w:t>超过肋下2cm至脐水平线者为中度肿大</w:t>
      </w:r>
      <w:r>
        <w:rPr>
          <w:rFonts w:hint="eastAsia" w:cs="宋体"/>
          <w:color w:val="000000"/>
          <w:sz w:val="21"/>
          <w:szCs w:val="21"/>
          <w:lang w:eastAsia="zh-CN"/>
        </w:rPr>
        <w:t>；</w:t>
      </w:r>
      <w:r>
        <w:rPr>
          <w:rFonts w:cs="宋体"/>
          <w:color w:val="000000"/>
          <w:sz w:val="21"/>
          <w:szCs w:val="21"/>
        </w:rPr>
        <w:t>超过脐水平线者为高度肿大。</w:t>
      </w:r>
    </w:p>
    <w:p w14:paraId="174126FF">
      <w:pPr>
        <w:pStyle w:val="2"/>
        <w:numPr>
          <w:ilvl w:val="0"/>
          <w:numId w:val="0"/>
        </w:numPr>
        <w:snapToGrid w:val="0"/>
        <w:spacing w:before="120" w:after="120" w:line="288" w:lineRule="auto"/>
        <w:jc w:val="both"/>
        <w:rPr>
          <w:rFonts w:hint="default"/>
          <w:sz w:val="21"/>
          <w:szCs w:val="21"/>
        </w:rPr>
      </w:pPr>
      <w:r>
        <w:rPr>
          <w:sz w:val="21"/>
          <w:szCs w:val="21"/>
        </w:rPr>
        <w:t>6.1.2.5 血压</w:t>
      </w:r>
    </w:p>
    <w:p w14:paraId="3786063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6.1.2.5.1 </w:t>
      </w:r>
      <w:r>
        <w:rPr>
          <w:rFonts w:cs="宋体"/>
          <w:color w:val="000000"/>
          <w:sz w:val="21"/>
          <w:szCs w:val="21"/>
        </w:rPr>
        <w:t>仪器使用汞柱式血压计，或经过英国高血压学会、欧洲高血压学会、美国医疗器械检测协会等组织认证的电子血压计。</w:t>
      </w:r>
    </w:p>
    <w:p w14:paraId="46C0939E">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6.1.2.5.2 </w:t>
      </w:r>
      <w:r>
        <w:rPr>
          <w:rFonts w:cs="宋体"/>
          <w:color w:val="000000"/>
          <w:sz w:val="21"/>
          <w:szCs w:val="21"/>
        </w:rPr>
        <w:t>电子血压计测试血压方法：受试者取坐位，右臂自然前伸，与心脏保持同一水平。测量血压时，应相隔1～2分钟重复测量，取2次读数的平均值记录。如果收缩压或舒张压的2次读数相差5mmHg以上，应再次测量，取3次读数的平均值记录。如使用汞柱式血压计，则按照GB/T26343的规定进行测量。</w:t>
      </w:r>
    </w:p>
    <w:p w14:paraId="5E15ADD7">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6.1.2.5.3 </w:t>
      </w:r>
      <w:r>
        <w:rPr>
          <w:rFonts w:cs="宋体"/>
          <w:color w:val="000000"/>
          <w:sz w:val="21"/>
          <w:szCs w:val="21"/>
        </w:rPr>
        <w:t>按照WS/T610的规定进行正常高值血压和血压偏高判定。</w:t>
      </w:r>
    </w:p>
    <w:p w14:paraId="1043AA6A">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6.1.2.5.4 </w:t>
      </w:r>
      <w:r>
        <w:rPr>
          <w:rFonts w:cs="宋体"/>
          <w:color w:val="000000"/>
          <w:sz w:val="21"/>
          <w:szCs w:val="21"/>
        </w:rPr>
        <w:t>结果记录以毫米汞柱</w:t>
      </w:r>
      <w:r>
        <w:rPr>
          <w:rFonts w:hint="eastAsia" w:cs="宋体"/>
          <w:color w:val="000000"/>
          <w:sz w:val="21"/>
          <w:szCs w:val="21"/>
          <w:lang w:eastAsia="zh-CN"/>
        </w:rPr>
        <w:t>（</w:t>
      </w:r>
      <w:r>
        <w:rPr>
          <w:rFonts w:cs="宋体"/>
          <w:color w:val="000000"/>
          <w:sz w:val="21"/>
          <w:szCs w:val="21"/>
        </w:rPr>
        <w:t>mmHg</w:t>
      </w:r>
      <w:r>
        <w:rPr>
          <w:rFonts w:hint="eastAsia" w:cs="宋体"/>
          <w:color w:val="000000"/>
          <w:sz w:val="21"/>
          <w:szCs w:val="21"/>
          <w:lang w:eastAsia="zh-CN"/>
        </w:rPr>
        <w:t>）</w:t>
      </w:r>
      <w:r>
        <w:rPr>
          <w:rFonts w:cs="宋体"/>
          <w:color w:val="000000"/>
          <w:sz w:val="21"/>
          <w:szCs w:val="21"/>
        </w:rPr>
        <w:t>为单位，记录收缩压和舒张压。</w:t>
      </w:r>
    </w:p>
    <w:p w14:paraId="645CBA2F">
      <w:pPr>
        <w:pStyle w:val="2"/>
        <w:numPr>
          <w:ilvl w:val="0"/>
          <w:numId w:val="0"/>
        </w:numPr>
        <w:snapToGrid w:val="0"/>
        <w:spacing w:before="120" w:after="120" w:line="288" w:lineRule="auto"/>
        <w:jc w:val="both"/>
        <w:rPr>
          <w:rFonts w:hint="default"/>
          <w:sz w:val="21"/>
          <w:szCs w:val="21"/>
        </w:rPr>
      </w:pPr>
      <w:r>
        <w:rPr>
          <w:sz w:val="21"/>
          <w:szCs w:val="21"/>
        </w:rPr>
        <w:t>6.1.2.6 肺活量</w:t>
      </w:r>
    </w:p>
    <w:p w14:paraId="718876D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6.1.2.6.1 </w:t>
      </w:r>
      <w:r>
        <w:rPr>
          <w:rFonts w:cs="宋体"/>
          <w:color w:val="000000"/>
          <w:sz w:val="21"/>
          <w:szCs w:val="21"/>
        </w:rPr>
        <w:t>器材使用电子肺活量计或回旋式肺活量计</w:t>
      </w:r>
      <w:r>
        <w:rPr>
          <w:rFonts w:hint="eastAsia" w:cs="宋体"/>
          <w:color w:val="000000"/>
          <w:sz w:val="21"/>
          <w:szCs w:val="21"/>
          <w:lang w:eastAsia="zh-CN"/>
        </w:rPr>
        <w:t>，</w:t>
      </w:r>
      <w:r>
        <w:rPr>
          <w:rFonts w:cs="宋体"/>
          <w:color w:val="000000"/>
          <w:sz w:val="21"/>
          <w:szCs w:val="21"/>
        </w:rPr>
        <w:t>一次性</w:t>
      </w:r>
      <w:r>
        <w:rPr>
          <w:rFonts w:cs="宋体"/>
          <w:color w:val="000000"/>
          <w:sz w:val="21"/>
          <w:szCs w:val="21"/>
          <w:highlight w:val="none"/>
        </w:rPr>
        <w:t>肺活量</w:t>
      </w:r>
      <w:r>
        <w:rPr>
          <w:rFonts w:hint="eastAsia" w:cs="宋体"/>
          <w:color w:val="000000"/>
          <w:sz w:val="21"/>
          <w:szCs w:val="21"/>
          <w:highlight w:val="none"/>
          <w:lang w:val="en-US" w:eastAsia="zh-CN"/>
        </w:rPr>
        <w:t>计吹气</w:t>
      </w:r>
      <w:r>
        <w:rPr>
          <w:rFonts w:cs="宋体"/>
          <w:color w:val="000000"/>
          <w:sz w:val="21"/>
          <w:szCs w:val="21"/>
          <w:highlight w:val="none"/>
        </w:rPr>
        <w:t>嘴。</w:t>
      </w:r>
      <w:r>
        <w:rPr>
          <w:rFonts w:hint="eastAsia" w:cs="宋体"/>
          <w:color w:val="000000"/>
          <w:sz w:val="21"/>
          <w:szCs w:val="21"/>
          <w:highlight w:val="none"/>
          <w:lang w:val="en-US" w:eastAsia="zh-CN"/>
        </w:rPr>
        <w:t>吹气</w:t>
      </w:r>
      <w:r>
        <w:rPr>
          <w:rFonts w:cs="宋体"/>
          <w:color w:val="000000"/>
          <w:sz w:val="21"/>
          <w:szCs w:val="21"/>
          <w:highlight w:val="none"/>
        </w:rPr>
        <w:t>嘴应一</w:t>
      </w:r>
      <w:r>
        <w:rPr>
          <w:rFonts w:cs="宋体"/>
          <w:color w:val="000000"/>
          <w:sz w:val="21"/>
          <w:szCs w:val="21"/>
        </w:rPr>
        <w:t>人一用</w:t>
      </w:r>
      <w:r>
        <w:rPr>
          <w:rFonts w:hint="eastAsia" w:cs="宋体"/>
          <w:color w:val="000000"/>
          <w:sz w:val="21"/>
          <w:szCs w:val="21"/>
          <w:lang w:eastAsia="zh-CN"/>
        </w:rPr>
        <w:t>，</w:t>
      </w:r>
      <w:r>
        <w:rPr>
          <w:rFonts w:cs="宋体"/>
          <w:color w:val="000000"/>
          <w:sz w:val="21"/>
          <w:szCs w:val="21"/>
        </w:rPr>
        <w:t>不得重复使用。</w:t>
      </w:r>
    </w:p>
    <w:p w14:paraId="638DF1F4">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6.1.2.6.2 </w:t>
      </w:r>
      <w:r>
        <w:rPr>
          <w:rFonts w:cs="宋体"/>
          <w:color w:val="000000"/>
          <w:sz w:val="21"/>
          <w:szCs w:val="21"/>
        </w:rPr>
        <w:t>按照GB/T26343的规定进行肺活量的测量。</w:t>
      </w:r>
    </w:p>
    <w:p w14:paraId="485F3A4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6.1.2.6.3 </w:t>
      </w:r>
      <w:r>
        <w:rPr>
          <w:rFonts w:cs="宋体"/>
          <w:color w:val="000000"/>
          <w:sz w:val="21"/>
          <w:szCs w:val="21"/>
        </w:rPr>
        <w:t>结果记录以毫升为单位记录读数结果</w:t>
      </w:r>
      <w:r>
        <w:rPr>
          <w:rFonts w:hint="eastAsia" w:cs="宋体"/>
          <w:color w:val="000000"/>
          <w:sz w:val="21"/>
          <w:szCs w:val="21"/>
          <w:lang w:eastAsia="zh-CN"/>
        </w:rPr>
        <w:t>，</w:t>
      </w:r>
      <w:r>
        <w:rPr>
          <w:rFonts w:cs="宋体"/>
          <w:color w:val="000000"/>
          <w:sz w:val="21"/>
          <w:szCs w:val="21"/>
        </w:rPr>
        <w:t>选最大测量值作为被检者肺活量值。</w:t>
      </w:r>
    </w:p>
    <w:p w14:paraId="7CA2D0C7">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6.1.2.6.4 </w:t>
      </w:r>
      <w:r>
        <w:rPr>
          <w:rFonts w:cs="宋体"/>
          <w:color w:val="000000"/>
          <w:sz w:val="21"/>
          <w:szCs w:val="21"/>
        </w:rPr>
        <w:t>注意事项</w:t>
      </w:r>
      <w:r>
        <w:rPr>
          <w:rFonts w:hint="eastAsia" w:cs="宋体"/>
          <w:color w:val="000000"/>
          <w:sz w:val="21"/>
          <w:szCs w:val="21"/>
          <w:lang w:eastAsia="zh-CN"/>
        </w:rPr>
        <w:t>：</w:t>
      </w:r>
      <w:r>
        <w:rPr>
          <w:rFonts w:cs="宋体"/>
          <w:color w:val="000000"/>
          <w:sz w:val="21"/>
          <w:szCs w:val="21"/>
        </w:rPr>
        <w:t>测量前应向被检者说明测量方法</w:t>
      </w:r>
      <w:r>
        <w:rPr>
          <w:rFonts w:hint="eastAsia" w:cs="宋体"/>
          <w:color w:val="000000"/>
          <w:sz w:val="21"/>
          <w:szCs w:val="21"/>
          <w:lang w:eastAsia="zh-CN"/>
        </w:rPr>
        <w:t>；</w:t>
      </w:r>
      <w:r>
        <w:rPr>
          <w:rFonts w:cs="宋体"/>
          <w:color w:val="000000"/>
          <w:sz w:val="21"/>
          <w:szCs w:val="21"/>
        </w:rPr>
        <w:t>被检者在测量过程中不能有第二次吸气。</w:t>
      </w:r>
    </w:p>
    <w:p w14:paraId="06DC6ACD">
      <w:pPr>
        <w:pStyle w:val="2"/>
        <w:numPr>
          <w:ilvl w:val="0"/>
          <w:numId w:val="0"/>
        </w:numPr>
        <w:snapToGrid w:val="0"/>
        <w:spacing w:before="120" w:after="120" w:line="288" w:lineRule="auto"/>
        <w:jc w:val="both"/>
        <w:rPr>
          <w:rFonts w:hint="default"/>
          <w:sz w:val="21"/>
          <w:szCs w:val="21"/>
        </w:rPr>
      </w:pPr>
      <w:r>
        <w:rPr>
          <w:sz w:val="21"/>
          <w:szCs w:val="21"/>
        </w:rPr>
        <w:t>6.1.3 外科检查</w:t>
      </w:r>
    </w:p>
    <w:p w14:paraId="50164C5B">
      <w:pPr>
        <w:pStyle w:val="2"/>
        <w:numPr>
          <w:ilvl w:val="0"/>
          <w:numId w:val="0"/>
        </w:numPr>
        <w:snapToGrid w:val="0"/>
        <w:spacing w:before="120" w:after="120" w:line="288" w:lineRule="auto"/>
        <w:jc w:val="both"/>
        <w:rPr>
          <w:rFonts w:hint="default"/>
          <w:sz w:val="21"/>
          <w:szCs w:val="21"/>
        </w:rPr>
      </w:pPr>
      <w:r>
        <w:rPr>
          <w:sz w:val="21"/>
          <w:szCs w:val="21"/>
        </w:rPr>
        <w:t>6.1.3.1 头部</w:t>
      </w:r>
    </w:p>
    <w:p w14:paraId="78FF19BF">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6.1.3.1.1 </w:t>
      </w:r>
      <w:r>
        <w:rPr>
          <w:rFonts w:cs="宋体"/>
          <w:color w:val="000000"/>
          <w:sz w:val="21"/>
          <w:szCs w:val="21"/>
        </w:rPr>
        <w:t>按照GB/T26343的规定进行头部检查。</w:t>
      </w:r>
    </w:p>
    <w:p w14:paraId="34124C71">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6.1.3.1.2 </w:t>
      </w:r>
      <w:r>
        <w:rPr>
          <w:rFonts w:cs="宋体"/>
          <w:color w:val="000000"/>
          <w:sz w:val="21"/>
          <w:szCs w:val="21"/>
        </w:rPr>
        <w:t>记录检查发现的阳性结果。</w:t>
      </w:r>
    </w:p>
    <w:p w14:paraId="7F594381">
      <w:pPr>
        <w:pStyle w:val="2"/>
        <w:numPr>
          <w:ilvl w:val="0"/>
          <w:numId w:val="0"/>
        </w:numPr>
        <w:snapToGrid w:val="0"/>
        <w:spacing w:before="120" w:after="120" w:line="288" w:lineRule="auto"/>
        <w:jc w:val="both"/>
        <w:rPr>
          <w:rFonts w:hint="default"/>
          <w:sz w:val="21"/>
          <w:szCs w:val="21"/>
        </w:rPr>
      </w:pPr>
      <w:r>
        <w:rPr>
          <w:sz w:val="21"/>
          <w:szCs w:val="21"/>
        </w:rPr>
        <w:t>6.1.3.2 颈部</w:t>
      </w:r>
    </w:p>
    <w:p w14:paraId="652DF2C5">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6.1.3.2.1 </w:t>
      </w:r>
      <w:r>
        <w:rPr>
          <w:rFonts w:cs="宋体"/>
          <w:color w:val="000000"/>
          <w:sz w:val="21"/>
          <w:szCs w:val="21"/>
        </w:rPr>
        <w:t>按照GB/T26343的规定进行颈部检查。</w:t>
      </w:r>
    </w:p>
    <w:p w14:paraId="16E14DC8">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6.1.3.2.2 </w:t>
      </w:r>
      <w:r>
        <w:rPr>
          <w:rFonts w:cs="宋体"/>
          <w:color w:val="000000"/>
          <w:sz w:val="21"/>
          <w:szCs w:val="21"/>
        </w:rPr>
        <w:t>记录检查发现的阳性体征。</w:t>
      </w:r>
    </w:p>
    <w:p w14:paraId="315D317C">
      <w:pPr>
        <w:pStyle w:val="2"/>
        <w:numPr>
          <w:ilvl w:val="0"/>
          <w:numId w:val="0"/>
        </w:numPr>
        <w:snapToGrid w:val="0"/>
        <w:spacing w:before="120" w:after="120" w:line="288" w:lineRule="auto"/>
        <w:jc w:val="both"/>
        <w:rPr>
          <w:rFonts w:hint="default"/>
          <w:sz w:val="21"/>
          <w:szCs w:val="21"/>
        </w:rPr>
      </w:pPr>
      <w:r>
        <w:rPr>
          <w:sz w:val="21"/>
          <w:szCs w:val="21"/>
        </w:rPr>
        <w:t>6.1.3.3 胸部</w:t>
      </w:r>
    </w:p>
    <w:p w14:paraId="763A393F">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6.1.3.3.1 </w:t>
      </w:r>
      <w:r>
        <w:rPr>
          <w:rFonts w:cs="宋体"/>
          <w:color w:val="000000"/>
          <w:sz w:val="21"/>
          <w:szCs w:val="21"/>
        </w:rPr>
        <w:t>按照GB/T26343的规定进行胸部检查。</w:t>
      </w:r>
    </w:p>
    <w:p w14:paraId="21E0A378">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6.1.3.3.2 </w:t>
      </w:r>
      <w:r>
        <w:rPr>
          <w:rFonts w:cs="宋体"/>
          <w:color w:val="000000"/>
          <w:sz w:val="21"/>
          <w:szCs w:val="21"/>
        </w:rPr>
        <w:t>记录胸廓检查发现的阳性体征。</w:t>
      </w:r>
    </w:p>
    <w:p w14:paraId="01612CA5">
      <w:pPr>
        <w:pStyle w:val="2"/>
        <w:numPr>
          <w:ilvl w:val="0"/>
          <w:numId w:val="0"/>
        </w:numPr>
        <w:snapToGrid w:val="0"/>
        <w:spacing w:before="120" w:after="120" w:line="288" w:lineRule="auto"/>
        <w:jc w:val="both"/>
        <w:rPr>
          <w:rFonts w:hint="default"/>
          <w:sz w:val="21"/>
          <w:szCs w:val="21"/>
        </w:rPr>
      </w:pPr>
      <w:r>
        <w:rPr>
          <w:sz w:val="21"/>
          <w:szCs w:val="21"/>
        </w:rPr>
        <w:t>6.1.3.4 脊柱</w:t>
      </w:r>
    </w:p>
    <w:p w14:paraId="6BC3C1D2">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6.1.3.4.1 </w:t>
      </w:r>
      <w:r>
        <w:rPr>
          <w:rFonts w:cs="宋体"/>
          <w:color w:val="000000"/>
          <w:sz w:val="21"/>
          <w:szCs w:val="21"/>
        </w:rPr>
        <w:t>仪器使用诊察床、躯干旋转测量仪。</w:t>
      </w:r>
    </w:p>
    <w:p w14:paraId="4A6E0EA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6.1.3.4.2 </w:t>
      </w:r>
      <w:r>
        <w:rPr>
          <w:rFonts w:cs="宋体"/>
          <w:color w:val="000000"/>
          <w:sz w:val="21"/>
          <w:szCs w:val="21"/>
        </w:rPr>
        <w:t>按照GB/T16133的规定进行脊柱侧弯和脊柱前后弯曲的检查。</w:t>
      </w:r>
    </w:p>
    <w:p w14:paraId="59CA290E">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6.1.3.4.3 </w:t>
      </w:r>
      <w:r>
        <w:rPr>
          <w:rFonts w:cs="宋体"/>
          <w:color w:val="000000"/>
          <w:sz w:val="21"/>
          <w:szCs w:val="21"/>
        </w:rPr>
        <w:t>按照GB/T16133的规定进行脊柱侧弯和脊柱前后弯曲异常的判定。</w:t>
      </w:r>
    </w:p>
    <w:p w14:paraId="0F15C686">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6.1.3.4.4 </w:t>
      </w:r>
      <w:r>
        <w:rPr>
          <w:rFonts w:cs="宋体"/>
          <w:color w:val="000000"/>
          <w:sz w:val="21"/>
          <w:szCs w:val="21"/>
        </w:rPr>
        <w:t>脊柱侧弯记录侧弯的部位、方向和程度，部位分上胸、胸、胸腰及腰，方向分为左凸和右凸，偶有双向。脊柱前后弯曲异常应记录其异常部位、方向和程度，部位分上胸、胸、胸腰及腰，方向分为前凸和后凸。</w:t>
      </w:r>
    </w:p>
    <w:p w14:paraId="5C61E4FA">
      <w:pPr>
        <w:pStyle w:val="2"/>
        <w:numPr>
          <w:ilvl w:val="0"/>
          <w:numId w:val="0"/>
        </w:numPr>
        <w:snapToGrid w:val="0"/>
        <w:spacing w:before="120" w:after="120" w:line="288" w:lineRule="auto"/>
        <w:jc w:val="both"/>
        <w:rPr>
          <w:rFonts w:hint="default"/>
          <w:sz w:val="21"/>
          <w:szCs w:val="21"/>
        </w:rPr>
      </w:pPr>
      <w:r>
        <w:rPr>
          <w:sz w:val="21"/>
          <w:szCs w:val="21"/>
        </w:rPr>
        <w:t>6.1.3.5 四肢</w:t>
      </w:r>
    </w:p>
    <w:p w14:paraId="1B15CFBA">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6.1.3.5.1 </w:t>
      </w:r>
      <w:r>
        <w:rPr>
          <w:rFonts w:cs="宋体"/>
          <w:color w:val="000000"/>
          <w:sz w:val="21"/>
          <w:szCs w:val="21"/>
        </w:rPr>
        <w:t>按照GB/T26343的规定进行四肢检查。</w:t>
      </w:r>
    </w:p>
    <w:p w14:paraId="5F082536">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6.1.3.5.2 </w:t>
      </w:r>
      <w:r>
        <w:rPr>
          <w:rFonts w:cs="宋体"/>
          <w:color w:val="000000"/>
          <w:sz w:val="21"/>
          <w:szCs w:val="21"/>
        </w:rPr>
        <w:t>记录四肢检查发现的阳性体征。</w:t>
      </w:r>
    </w:p>
    <w:p w14:paraId="4272EFF6">
      <w:pPr>
        <w:pStyle w:val="2"/>
        <w:numPr>
          <w:ilvl w:val="0"/>
          <w:numId w:val="0"/>
        </w:numPr>
        <w:snapToGrid w:val="0"/>
        <w:spacing w:before="120" w:after="120" w:line="288" w:lineRule="auto"/>
        <w:jc w:val="both"/>
        <w:rPr>
          <w:rFonts w:hint="default"/>
          <w:sz w:val="21"/>
          <w:szCs w:val="21"/>
        </w:rPr>
      </w:pPr>
      <w:r>
        <w:rPr>
          <w:sz w:val="21"/>
          <w:szCs w:val="21"/>
        </w:rPr>
        <w:t>6.1.3.6 皮肤</w:t>
      </w:r>
    </w:p>
    <w:p w14:paraId="4631169F">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6.1.3.6.1 </w:t>
      </w:r>
      <w:r>
        <w:rPr>
          <w:rFonts w:cs="宋体"/>
          <w:color w:val="000000"/>
          <w:sz w:val="21"/>
          <w:szCs w:val="21"/>
        </w:rPr>
        <w:t>按照GB/T26343的规定进行皮肤检查。</w:t>
      </w:r>
    </w:p>
    <w:p w14:paraId="0A09A38D">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6.1.3.6.2 </w:t>
      </w:r>
      <w:r>
        <w:rPr>
          <w:rFonts w:cs="宋体"/>
          <w:color w:val="000000"/>
          <w:sz w:val="21"/>
          <w:szCs w:val="21"/>
        </w:rPr>
        <w:t>记录皮肤检查发现的阳性体征。</w:t>
      </w:r>
    </w:p>
    <w:p w14:paraId="39A11870">
      <w:pPr>
        <w:pStyle w:val="2"/>
        <w:numPr>
          <w:ilvl w:val="0"/>
          <w:numId w:val="0"/>
        </w:numPr>
        <w:snapToGrid w:val="0"/>
        <w:spacing w:before="120" w:after="120" w:line="288" w:lineRule="auto"/>
        <w:jc w:val="both"/>
        <w:rPr>
          <w:rFonts w:hint="default"/>
          <w:sz w:val="21"/>
          <w:szCs w:val="21"/>
        </w:rPr>
      </w:pPr>
      <w:r>
        <w:rPr>
          <w:sz w:val="21"/>
          <w:szCs w:val="21"/>
        </w:rPr>
        <w:t>6.1.3.7 淋巴结</w:t>
      </w:r>
    </w:p>
    <w:p w14:paraId="4E298913">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6.1.3.7.1 </w:t>
      </w:r>
      <w:r>
        <w:rPr>
          <w:rFonts w:cs="宋体"/>
          <w:color w:val="000000"/>
          <w:sz w:val="21"/>
          <w:szCs w:val="21"/>
        </w:rPr>
        <w:t>按照GB/T26343的规定进行淋巴结检查。</w:t>
      </w:r>
    </w:p>
    <w:p w14:paraId="35F273FD">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6.1.3.7.2 </w:t>
      </w:r>
      <w:r>
        <w:rPr>
          <w:rFonts w:cs="宋体"/>
          <w:color w:val="000000"/>
          <w:sz w:val="21"/>
          <w:szCs w:val="21"/>
        </w:rPr>
        <w:t>记录淋巴结检查发现的阳性体征。</w:t>
      </w:r>
    </w:p>
    <w:p w14:paraId="10619363">
      <w:pPr>
        <w:pStyle w:val="2"/>
        <w:numPr>
          <w:ilvl w:val="0"/>
          <w:numId w:val="0"/>
        </w:numPr>
        <w:snapToGrid w:val="0"/>
        <w:spacing w:before="120" w:after="120" w:line="288" w:lineRule="auto"/>
        <w:jc w:val="both"/>
        <w:rPr>
          <w:rFonts w:hint="default"/>
          <w:sz w:val="21"/>
          <w:szCs w:val="21"/>
        </w:rPr>
      </w:pPr>
      <w:r>
        <w:rPr>
          <w:sz w:val="21"/>
          <w:szCs w:val="21"/>
        </w:rPr>
        <w:t>6.1.4 耳鼻喉科检查</w:t>
      </w:r>
    </w:p>
    <w:p w14:paraId="2780A28D">
      <w:pPr>
        <w:pStyle w:val="2"/>
        <w:numPr>
          <w:ilvl w:val="0"/>
          <w:numId w:val="0"/>
        </w:numPr>
        <w:snapToGrid w:val="0"/>
        <w:spacing w:before="120" w:after="120" w:line="288" w:lineRule="auto"/>
        <w:jc w:val="both"/>
        <w:rPr>
          <w:rFonts w:hint="default"/>
          <w:sz w:val="21"/>
          <w:szCs w:val="21"/>
        </w:rPr>
      </w:pPr>
      <w:r>
        <w:rPr>
          <w:sz w:val="21"/>
          <w:szCs w:val="21"/>
        </w:rPr>
        <w:t>6.1.4.1 听力</w:t>
      </w:r>
    </w:p>
    <w:p w14:paraId="1AEF33E7">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6.1.4.1.1 </w:t>
      </w:r>
      <w:r>
        <w:rPr>
          <w:rFonts w:cs="宋体"/>
          <w:color w:val="000000"/>
          <w:sz w:val="21"/>
          <w:szCs w:val="21"/>
        </w:rPr>
        <w:t>按照GB/T26343的规定进行听力筛查。</w:t>
      </w:r>
    </w:p>
    <w:p w14:paraId="2300F489">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6.1.4.1.2 </w:t>
      </w:r>
      <w:r>
        <w:rPr>
          <w:rFonts w:cs="宋体"/>
          <w:color w:val="000000"/>
          <w:sz w:val="21"/>
          <w:szCs w:val="21"/>
        </w:rPr>
        <w:t>在1m远处听到捻指声为听力正常。否则为听力减退。</w:t>
      </w:r>
    </w:p>
    <w:p w14:paraId="68B96787">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6.1.4.1.3 </w:t>
      </w:r>
      <w:r>
        <w:rPr>
          <w:rFonts w:cs="宋体"/>
          <w:color w:val="000000"/>
          <w:sz w:val="21"/>
          <w:szCs w:val="21"/>
        </w:rPr>
        <w:t>结果以左、右耳分别记录是否听力正常或听力减退。对于听力减退者</w:t>
      </w:r>
      <w:r>
        <w:rPr>
          <w:rFonts w:hint="eastAsia" w:cs="宋体"/>
          <w:color w:val="000000"/>
          <w:sz w:val="21"/>
          <w:szCs w:val="21"/>
          <w:lang w:eastAsia="zh-CN"/>
        </w:rPr>
        <w:t>，</w:t>
      </w:r>
      <w:r>
        <w:rPr>
          <w:rFonts w:cs="宋体"/>
          <w:color w:val="000000"/>
          <w:sz w:val="21"/>
          <w:szCs w:val="21"/>
        </w:rPr>
        <w:t>应提出去医院进一步检查。</w:t>
      </w:r>
    </w:p>
    <w:p w14:paraId="7E908628">
      <w:pPr>
        <w:pStyle w:val="2"/>
        <w:numPr>
          <w:ilvl w:val="0"/>
          <w:numId w:val="0"/>
        </w:numPr>
        <w:snapToGrid w:val="0"/>
        <w:spacing w:before="120" w:after="120" w:line="288" w:lineRule="auto"/>
        <w:jc w:val="both"/>
        <w:rPr>
          <w:rFonts w:hint="default"/>
          <w:sz w:val="21"/>
          <w:szCs w:val="21"/>
        </w:rPr>
      </w:pPr>
      <w:r>
        <w:rPr>
          <w:sz w:val="21"/>
          <w:szCs w:val="21"/>
        </w:rPr>
        <w:t>6.1.4.2 外耳道与鼓膜</w:t>
      </w:r>
    </w:p>
    <w:p w14:paraId="43DCAB31">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6.1.4.2.1 </w:t>
      </w:r>
      <w:r>
        <w:rPr>
          <w:rFonts w:cs="宋体"/>
          <w:color w:val="000000"/>
          <w:sz w:val="21"/>
          <w:szCs w:val="21"/>
        </w:rPr>
        <w:t>器材使用耳镜</w:t>
      </w:r>
      <w:r>
        <w:rPr>
          <w:rFonts w:hint="eastAsia" w:cs="宋体"/>
          <w:color w:val="000000"/>
          <w:sz w:val="21"/>
          <w:szCs w:val="21"/>
          <w:lang w:eastAsia="zh-CN"/>
        </w:rPr>
        <w:t>，</w:t>
      </w:r>
      <w:r>
        <w:rPr>
          <w:rFonts w:cs="宋体"/>
          <w:color w:val="000000"/>
          <w:sz w:val="21"/>
          <w:szCs w:val="21"/>
        </w:rPr>
        <w:t>额镜</w:t>
      </w:r>
      <w:r>
        <w:rPr>
          <w:rFonts w:hint="eastAsia" w:cs="宋体"/>
          <w:color w:val="000000"/>
          <w:sz w:val="21"/>
          <w:szCs w:val="21"/>
          <w:lang w:eastAsia="zh-CN"/>
        </w:rPr>
        <w:t>，</w:t>
      </w:r>
      <w:r>
        <w:rPr>
          <w:rFonts w:cs="宋体"/>
          <w:color w:val="000000"/>
          <w:sz w:val="21"/>
          <w:szCs w:val="21"/>
        </w:rPr>
        <w:t>照明灯。或电耳镜。</w:t>
      </w:r>
    </w:p>
    <w:p w14:paraId="31E47B9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6.1.4.2.2 </w:t>
      </w:r>
      <w:r>
        <w:rPr>
          <w:rFonts w:cs="宋体"/>
          <w:color w:val="000000"/>
          <w:sz w:val="21"/>
          <w:szCs w:val="21"/>
        </w:rPr>
        <w:t>按照GB/T26343的规定进行外耳道与鼓膜检查。</w:t>
      </w:r>
    </w:p>
    <w:p w14:paraId="2A4105FF">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6.1.4.2.3 </w:t>
      </w:r>
      <w:r>
        <w:rPr>
          <w:rFonts w:cs="宋体"/>
          <w:color w:val="000000"/>
          <w:sz w:val="21"/>
          <w:szCs w:val="21"/>
        </w:rPr>
        <w:t>分别记录左、右外耳道和鼓膜检查的阳性结果。</w:t>
      </w:r>
    </w:p>
    <w:p w14:paraId="6A1A69C3">
      <w:pPr>
        <w:pStyle w:val="2"/>
        <w:numPr>
          <w:ilvl w:val="0"/>
          <w:numId w:val="0"/>
        </w:numPr>
        <w:snapToGrid w:val="0"/>
        <w:spacing w:before="120" w:after="120" w:line="288" w:lineRule="auto"/>
        <w:jc w:val="both"/>
        <w:rPr>
          <w:rFonts w:hint="default"/>
          <w:sz w:val="21"/>
          <w:szCs w:val="21"/>
        </w:rPr>
      </w:pPr>
      <w:r>
        <w:rPr>
          <w:sz w:val="21"/>
          <w:szCs w:val="21"/>
        </w:rPr>
        <w:t>6.1.4.3外鼻</w:t>
      </w:r>
    </w:p>
    <w:p w14:paraId="2E827F5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6.1.4.3.1 </w:t>
      </w:r>
      <w:r>
        <w:rPr>
          <w:rFonts w:cs="宋体"/>
          <w:color w:val="000000"/>
          <w:sz w:val="21"/>
          <w:szCs w:val="21"/>
        </w:rPr>
        <w:t>按照GB/T26343的规定进行外鼻检查。</w:t>
      </w:r>
    </w:p>
    <w:p w14:paraId="28190AAE">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6.1.4.3.2 </w:t>
      </w:r>
      <w:r>
        <w:rPr>
          <w:rFonts w:cs="宋体"/>
          <w:color w:val="000000"/>
          <w:sz w:val="21"/>
          <w:szCs w:val="21"/>
        </w:rPr>
        <w:t>记录外鼻检查的阳性结果。</w:t>
      </w:r>
    </w:p>
    <w:p w14:paraId="6576524F">
      <w:pPr>
        <w:pStyle w:val="2"/>
        <w:numPr>
          <w:ilvl w:val="0"/>
          <w:numId w:val="0"/>
        </w:numPr>
        <w:snapToGrid w:val="0"/>
        <w:spacing w:before="120" w:after="120" w:line="288" w:lineRule="auto"/>
        <w:jc w:val="both"/>
        <w:rPr>
          <w:rFonts w:hint="default"/>
          <w:sz w:val="21"/>
          <w:szCs w:val="21"/>
        </w:rPr>
      </w:pPr>
      <w:r>
        <w:rPr>
          <w:sz w:val="21"/>
          <w:szCs w:val="21"/>
        </w:rPr>
        <w:t>6.1.4.4 嗅觉</w:t>
      </w:r>
    </w:p>
    <w:p w14:paraId="3A24BC35">
      <w:pPr>
        <w:snapToGrid w:val="0"/>
        <w:spacing w:line="288" w:lineRule="auto"/>
        <w:jc w:val="both"/>
        <w:rPr>
          <w:rFonts w:hint="default" w:cs="宋体"/>
          <w:color w:val="000000"/>
          <w:sz w:val="21"/>
          <w:szCs w:val="21"/>
        </w:rPr>
      </w:pPr>
      <w:r>
        <w:rPr>
          <w:rFonts w:ascii="黑体" w:eastAsia="黑体" w:cs="黑体"/>
          <w:color w:val="000000"/>
          <w:sz w:val="21"/>
          <w:szCs w:val="21"/>
        </w:rPr>
        <w:t>6.1.4.4.1</w:t>
      </w:r>
      <w:r>
        <w:rPr>
          <w:rFonts w:cs="宋体"/>
          <w:color w:val="000000"/>
          <w:sz w:val="21"/>
          <w:szCs w:val="21"/>
        </w:rPr>
        <w:t>按照GB/T26343的规定进行嗅觉检查。</w:t>
      </w:r>
    </w:p>
    <w:p w14:paraId="40CE4430">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6.1.4.4.2</w:t>
      </w:r>
      <w:r>
        <w:rPr>
          <w:rFonts w:cs="宋体"/>
          <w:color w:val="000000"/>
          <w:sz w:val="21"/>
          <w:szCs w:val="21"/>
        </w:rPr>
        <w:t>记录嗅觉检查是否正常。</w:t>
      </w:r>
    </w:p>
    <w:p w14:paraId="6318AC11">
      <w:pPr>
        <w:pStyle w:val="2"/>
        <w:numPr>
          <w:ilvl w:val="0"/>
          <w:numId w:val="0"/>
        </w:numPr>
        <w:snapToGrid w:val="0"/>
        <w:spacing w:before="120" w:after="120" w:line="288" w:lineRule="auto"/>
        <w:jc w:val="both"/>
        <w:rPr>
          <w:rFonts w:hint="default"/>
          <w:sz w:val="21"/>
          <w:szCs w:val="21"/>
        </w:rPr>
      </w:pPr>
      <w:r>
        <w:rPr>
          <w:sz w:val="21"/>
          <w:szCs w:val="21"/>
        </w:rPr>
        <w:t>6.1.4.5 扁桃体</w:t>
      </w:r>
    </w:p>
    <w:p w14:paraId="291837C0">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6.1.4.5.1 </w:t>
      </w:r>
      <w:r>
        <w:rPr>
          <w:rFonts w:cs="宋体"/>
          <w:color w:val="000000"/>
          <w:sz w:val="21"/>
          <w:szCs w:val="21"/>
        </w:rPr>
        <w:t>器材使用消毒备用的压舌板</w:t>
      </w:r>
      <w:r>
        <w:rPr>
          <w:rFonts w:hint="eastAsia" w:cs="宋体"/>
          <w:color w:val="000000"/>
          <w:sz w:val="21"/>
          <w:szCs w:val="21"/>
          <w:lang w:eastAsia="zh-CN"/>
        </w:rPr>
        <w:t>，</w:t>
      </w:r>
      <w:r>
        <w:rPr>
          <w:rFonts w:cs="宋体"/>
          <w:color w:val="000000"/>
          <w:sz w:val="21"/>
          <w:szCs w:val="21"/>
        </w:rPr>
        <w:t>额镜</w:t>
      </w:r>
      <w:r>
        <w:rPr>
          <w:rFonts w:hint="eastAsia" w:cs="宋体"/>
          <w:color w:val="000000"/>
          <w:sz w:val="21"/>
          <w:szCs w:val="21"/>
          <w:lang w:eastAsia="zh-CN"/>
        </w:rPr>
        <w:t>，</w:t>
      </w:r>
      <w:r>
        <w:rPr>
          <w:rFonts w:cs="宋体"/>
          <w:color w:val="000000"/>
          <w:sz w:val="21"/>
          <w:szCs w:val="21"/>
        </w:rPr>
        <w:t>照明灯。</w:t>
      </w:r>
    </w:p>
    <w:p w14:paraId="61EA11D5">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6.1.4.5.2 </w:t>
      </w:r>
      <w:r>
        <w:rPr>
          <w:rFonts w:cs="宋体"/>
          <w:color w:val="000000"/>
          <w:sz w:val="21"/>
          <w:szCs w:val="21"/>
        </w:rPr>
        <w:t>按照GB/T26343的规定进行扁桃体检查。</w:t>
      </w:r>
    </w:p>
    <w:p w14:paraId="3F2D74B9">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6.1.4.5.3 </w:t>
      </w:r>
      <w:r>
        <w:rPr>
          <w:rFonts w:cs="宋体"/>
          <w:color w:val="000000"/>
          <w:sz w:val="21"/>
          <w:szCs w:val="21"/>
        </w:rPr>
        <w:t>记录扁桃体是否肥大及程度。有无急性或慢性扁桃体炎。</w:t>
      </w:r>
    </w:p>
    <w:p w14:paraId="2B815EB8">
      <w:pPr>
        <w:pStyle w:val="2"/>
        <w:numPr>
          <w:ilvl w:val="0"/>
          <w:numId w:val="0"/>
        </w:numPr>
        <w:snapToGrid w:val="0"/>
        <w:spacing w:before="120" w:after="120" w:line="288" w:lineRule="auto"/>
        <w:jc w:val="both"/>
        <w:rPr>
          <w:rFonts w:hint="default"/>
          <w:sz w:val="21"/>
          <w:szCs w:val="21"/>
        </w:rPr>
      </w:pPr>
      <w:r>
        <w:rPr>
          <w:sz w:val="21"/>
          <w:szCs w:val="21"/>
        </w:rPr>
        <w:t>6.1.5 眼科检查</w:t>
      </w:r>
    </w:p>
    <w:p w14:paraId="08615052">
      <w:pPr>
        <w:pStyle w:val="2"/>
        <w:numPr>
          <w:ilvl w:val="0"/>
          <w:numId w:val="0"/>
        </w:numPr>
        <w:snapToGrid w:val="0"/>
        <w:spacing w:before="120" w:after="120" w:line="288" w:lineRule="auto"/>
        <w:jc w:val="both"/>
        <w:rPr>
          <w:rFonts w:hint="default"/>
          <w:sz w:val="21"/>
          <w:szCs w:val="21"/>
        </w:rPr>
      </w:pPr>
      <w:r>
        <w:rPr>
          <w:sz w:val="21"/>
          <w:szCs w:val="21"/>
        </w:rPr>
        <w:t>6.1.5.1 眼外观</w:t>
      </w:r>
    </w:p>
    <w:p w14:paraId="1C6AC6D6">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6.1.5.1.1 </w:t>
      </w:r>
      <w:r>
        <w:rPr>
          <w:rFonts w:cs="宋体"/>
          <w:color w:val="000000"/>
          <w:sz w:val="21"/>
          <w:szCs w:val="21"/>
        </w:rPr>
        <w:t>器材使用2.5倍放大镜</w:t>
      </w:r>
      <w:r>
        <w:rPr>
          <w:rFonts w:hint="eastAsia" w:cs="宋体"/>
          <w:color w:val="000000"/>
          <w:sz w:val="21"/>
          <w:szCs w:val="21"/>
          <w:lang w:eastAsia="zh-CN"/>
        </w:rPr>
        <w:t>，</w:t>
      </w:r>
      <w:r>
        <w:rPr>
          <w:rFonts w:cs="宋体"/>
          <w:color w:val="000000"/>
          <w:sz w:val="21"/>
          <w:szCs w:val="21"/>
        </w:rPr>
        <w:t>或裂隙灯生物显微镜。</w:t>
      </w:r>
    </w:p>
    <w:p w14:paraId="54C6E793">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6.1.5.1.2 </w:t>
      </w:r>
      <w:r>
        <w:rPr>
          <w:rFonts w:cs="宋体"/>
          <w:color w:val="000000"/>
          <w:sz w:val="21"/>
          <w:szCs w:val="21"/>
        </w:rPr>
        <w:t>按照GB/T26343的规定进行沙眼、结膜炎的检查。</w:t>
      </w:r>
    </w:p>
    <w:p w14:paraId="0F4AFAFB">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6.1.5.1.3 </w:t>
      </w:r>
      <w:r>
        <w:rPr>
          <w:rFonts w:cs="宋体"/>
          <w:color w:val="000000"/>
          <w:sz w:val="21"/>
          <w:szCs w:val="21"/>
        </w:rPr>
        <w:t>按照GB/T26343的规定进行沙眼、结膜炎的诊断。</w:t>
      </w:r>
    </w:p>
    <w:p w14:paraId="2CB36BE7">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6.1.5.1.4 </w:t>
      </w:r>
      <w:r>
        <w:rPr>
          <w:rFonts w:cs="宋体"/>
          <w:color w:val="000000"/>
          <w:sz w:val="21"/>
          <w:szCs w:val="21"/>
        </w:rPr>
        <w:t>按右、左眼分别记录检查结果。</w:t>
      </w:r>
    </w:p>
    <w:p w14:paraId="1B7ADC36">
      <w:pPr>
        <w:pStyle w:val="2"/>
        <w:numPr>
          <w:ilvl w:val="0"/>
          <w:numId w:val="0"/>
        </w:numPr>
        <w:snapToGrid w:val="0"/>
        <w:spacing w:before="120" w:after="120" w:line="288" w:lineRule="auto"/>
        <w:jc w:val="both"/>
        <w:rPr>
          <w:rFonts w:hint="default"/>
          <w:sz w:val="21"/>
          <w:szCs w:val="21"/>
        </w:rPr>
      </w:pPr>
      <w:r>
        <w:rPr>
          <w:sz w:val="21"/>
          <w:szCs w:val="21"/>
        </w:rPr>
        <w:t>6.1.5.2  远视力</w:t>
      </w:r>
    </w:p>
    <w:p w14:paraId="0071D5B4">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6.1.5.2.1 </w:t>
      </w:r>
      <w:r>
        <w:rPr>
          <w:rFonts w:cs="宋体"/>
          <w:color w:val="000000"/>
          <w:sz w:val="21"/>
          <w:szCs w:val="21"/>
        </w:rPr>
        <w:t>仪器使用符合GB/T11533规定的标准对数视力表灯箱。</w:t>
      </w:r>
    </w:p>
    <w:p w14:paraId="768D5A3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6.1.5.2.2 </w:t>
      </w:r>
      <w:r>
        <w:rPr>
          <w:rFonts w:cs="宋体"/>
          <w:color w:val="000000"/>
          <w:sz w:val="21"/>
          <w:szCs w:val="21"/>
        </w:rPr>
        <w:t>按照GB/T26343的规定方法进行裸眼远视力和戴镜远视力检查。</w:t>
      </w:r>
    </w:p>
    <w:p w14:paraId="6F725B9D">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6.1.5.2.3 </w:t>
      </w:r>
      <w:r>
        <w:rPr>
          <w:rFonts w:cs="宋体"/>
          <w:color w:val="000000"/>
          <w:sz w:val="21"/>
          <w:szCs w:val="21"/>
        </w:rPr>
        <w:t>按照GB/T26343的规定进行裸眼远视力的判定。</w:t>
      </w:r>
    </w:p>
    <w:p w14:paraId="6D506CC6">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6.1.5.2.4 </w:t>
      </w:r>
      <w:r>
        <w:rPr>
          <w:rFonts w:cs="宋体"/>
          <w:color w:val="000000"/>
          <w:sz w:val="21"/>
          <w:szCs w:val="21"/>
        </w:rPr>
        <w:t>按照5分记录法，将受检者的右</w:t>
      </w:r>
      <w:r>
        <w:rPr>
          <w:rFonts w:hint="eastAsia" w:cs="宋体"/>
          <w:color w:val="000000"/>
          <w:sz w:val="21"/>
          <w:szCs w:val="21"/>
          <w:lang w:eastAsia="zh-CN"/>
        </w:rPr>
        <w:t>、</w:t>
      </w:r>
      <w:r>
        <w:rPr>
          <w:rFonts w:hint="eastAsia" w:cs="宋体"/>
          <w:color w:val="000000"/>
          <w:sz w:val="21"/>
          <w:szCs w:val="21"/>
          <w:lang w:val="en-US" w:eastAsia="zh-CN"/>
        </w:rPr>
        <w:t>左</w:t>
      </w:r>
      <w:r>
        <w:rPr>
          <w:rFonts w:cs="宋体"/>
          <w:color w:val="000000"/>
          <w:sz w:val="21"/>
          <w:szCs w:val="21"/>
        </w:rPr>
        <w:t>眼裸眼远视力、戴镜远视力，分别记录，缺失值记录为9。</w:t>
      </w:r>
    </w:p>
    <w:p w14:paraId="0FCC36E0">
      <w:pPr>
        <w:pStyle w:val="2"/>
        <w:numPr>
          <w:ilvl w:val="0"/>
          <w:numId w:val="0"/>
        </w:numPr>
        <w:snapToGrid w:val="0"/>
        <w:spacing w:before="120" w:after="120" w:line="288" w:lineRule="auto"/>
        <w:jc w:val="both"/>
        <w:rPr>
          <w:rFonts w:hint="default"/>
          <w:sz w:val="21"/>
          <w:szCs w:val="21"/>
        </w:rPr>
      </w:pPr>
      <w:r>
        <w:rPr>
          <w:sz w:val="21"/>
          <w:szCs w:val="21"/>
        </w:rPr>
        <w:t>6.1.5.3 屈光度</w:t>
      </w:r>
    </w:p>
    <w:p w14:paraId="6E740EBF">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6.1.5.3.1 </w:t>
      </w:r>
      <w:r>
        <w:rPr>
          <w:rFonts w:cs="宋体"/>
          <w:color w:val="000000"/>
          <w:sz w:val="21"/>
          <w:szCs w:val="21"/>
        </w:rPr>
        <w:t>仪器使用符合YY0673要求的台式自动电脑验光仪。</w:t>
      </w:r>
    </w:p>
    <w:p w14:paraId="174D4B57">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6.1.5.3.2 </w:t>
      </w:r>
      <w:r>
        <w:rPr>
          <w:rFonts w:cs="宋体"/>
          <w:color w:val="000000"/>
          <w:sz w:val="21"/>
          <w:szCs w:val="21"/>
        </w:rPr>
        <w:t>在非睫状肌麻痹条件下，每只眼测量3次，取平均值；如其中任意2次的球镜度数测量值相差大于等于0.50D，则应进行额外的测量，再取平均值。对于调节能力特别强，多次检测数值波动大者，应备注说明。检查时发现的异常情况也应备注说明。</w:t>
      </w:r>
    </w:p>
    <w:p w14:paraId="1D3B5FF6">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6.1.5.3.3 </w:t>
      </w:r>
      <w:r>
        <w:rPr>
          <w:rFonts w:cs="宋体"/>
          <w:color w:val="000000"/>
          <w:sz w:val="21"/>
          <w:szCs w:val="21"/>
        </w:rPr>
        <w:t>裸眼远视力小于5.0且非睫状肌麻痹下电脑验光等效球镜度数小于-0.50D者判定为筛查性近视。</w:t>
      </w:r>
    </w:p>
    <w:p w14:paraId="1F86EE19">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6.1.5.3.4 </w:t>
      </w:r>
      <w:r>
        <w:rPr>
          <w:rFonts w:cs="宋体"/>
          <w:color w:val="000000"/>
          <w:sz w:val="21"/>
          <w:szCs w:val="21"/>
        </w:rPr>
        <w:t>屈光检测结果保留2位小数，球镜、柱镜前应相应填写“</w:t>
      </w:r>
      <w:r>
        <w:rPr>
          <w:rFonts w:hint="eastAsia" w:cs="宋体"/>
          <w:color w:val="000000"/>
          <w:sz w:val="21"/>
          <w:szCs w:val="21"/>
          <w:lang w:eastAsia="zh-CN"/>
        </w:rPr>
        <w:t>－</w:t>
      </w:r>
      <w:r>
        <w:rPr>
          <w:rFonts w:cs="宋体"/>
          <w:color w:val="000000"/>
          <w:sz w:val="21"/>
          <w:szCs w:val="21"/>
        </w:rPr>
        <w:t>”或“+”号，如受检者没有散光，柱镜填“0”，缺失值记录为999。</w:t>
      </w:r>
    </w:p>
    <w:p w14:paraId="06A9B21B">
      <w:pPr>
        <w:pStyle w:val="2"/>
        <w:numPr>
          <w:ilvl w:val="0"/>
          <w:numId w:val="0"/>
        </w:numPr>
        <w:snapToGrid w:val="0"/>
        <w:spacing w:before="120" w:after="120" w:line="288" w:lineRule="auto"/>
        <w:jc w:val="both"/>
        <w:rPr>
          <w:rFonts w:hint="default"/>
          <w:sz w:val="21"/>
          <w:szCs w:val="21"/>
        </w:rPr>
      </w:pPr>
      <w:r>
        <w:rPr>
          <w:sz w:val="21"/>
          <w:szCs w:val="21"/>
        </w:rPr>
        <w:t>6.1.6 口腔科检查</w:t>
      </w:r>
    </w:p>
    <w:p w14:paraId="274053A2">
      <w:pPr>
        <w:pStyle w:val="2"/>
        <w:numPr>
          <w:ilvl w:val="0"/>
          <w:numId w:val="0"/>
        </w:numPr>
        <w:snapToGrid w:val="0"/>
        <w:spacing w:before="120" w:after="120" w:line="288" w:lineRule="auto"/>
        <w:jc w:val="both"/>
        <w:rPr>
          <w:rFonts w:hint="default"/>
          <w:sz w:val="21"/>
          <w:szCs w:val="21"/>
        </w:rPr>
      </w:pPr>
      <w:r>
        <w:rPr>
          <w:sz w:val="21"/>
          <w:szCs w:val="21"/>
        </w:rPr>
        <w:t>6.1.6.1 牙齿</w:t>
      </w:r>
    </w:p>
    <w:p w14:paraId="507C014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6.1.6.1.1 </w:t>
      </w:r>
      <w:r>
        <w:rPr>
          <w:rFonts w:cs="宋体"/>
          <w:color w:val="000000"/>
          <w:sz w:val="21"/>
          <w:szCs w:val="21"/>
        </w:rPr>
        <w:t>仪器使用一次性的口腔器械盒（包），头灯或手电，有条件的使用便携式牙科椅。</w:t>
      </w:r>
    </w:p>
    <w:p w14:paraId="32DBE0E7">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6.1.6.1.2 </w:t>
      </w:r>
      <w:r>
        <w:rPr>
          <w:rFonts w:cs="宋体"/>
          <w:color w:val="000000"/>
          <w:sz w:val="21"/>
          <w:szCs w:val="21"/>
        </w:rPr>
        <w:t>按照GB/T26343的规定进行龋齿的检查。</w:t>
      </w:r>
    </w:p>
    <w:p w14:paraId="2D50EB4C">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6.1.6.1.3 </w:t>
      </w:r>
      <w:r>
        <w:rPr>
          <w:rFonts w:cs="宋体"/>
          <w:color w:val="000000"/>
          <w:sz w:val="21"/>
          <w:szCs w:val="21"/>
        </w:rPr>
        <w:t>按照GB/T26343的规定进行无龋牙、龋齿、已充填牙有龋、已充填牙无龋、龋失牙的判定。</w:t>
      </w:r>
    </w:p>
    <w:p w14:paraId="7C12569C">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6.1.6.1.4 </w:t>
      </w:r>
      <w:r>
        <w:rPr>
          <w:rFonts w:cs="宋体"/>
          <w:color w:val="000000"/>
          <w:sz w:val="21"/>
          <w:szCs w:val="21"/>
        </w:rPr>
        <w:t>结果记录按照乳牙、恒牙龋失补分别以b、B、m、M、f、F记入象限图中。未萌出牙不做记录。同一牙位如存在乳牙滞留，恒牙萌出情况，记录恒牙，不记录乳牙。</w:t>
      </w:r>
    </w:p>
    <w:p w14:paraId="3A42384E">
      <w:pPr>
        <w:pStyle w:val="2"/>
        <w:numPr>
          <w:ilvl w:val="0"/>
          <w:numId w:val="0"/>
        </w:numPr>
        <w:snapToGrid w:val="0"/>
        <w:spacing w:before="120" w:after="120" w:line="288" w:lineRule="auto"/>
        <w:jc w:val="both"/>
        <w:rPr>
          <w:rFonts w:hint="default"/>
          <w:sz w:val="21"/>
          <w:szCs w:val="21"/>
        </w:rPr>
      </w:pPr>
      <w:r>
        <w:rPr>
          <w:sz w:val="21"/>
          <w:szCs w:val="21"/>
        </w:rPr>
        <w:t>6.1.6.2 牙周</w:t>
      </w:r>
    </w:p>
    <w:p w14:paraId="4F0CDF51">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6.1.6.2.1 </w:t>
      </w:r>
      <w:r>
        <w:rPr>
          <w:rFonts w:cs="宋体"/>
          <w:color w:val="000000"/>
          <w:sz w:val="21"/>
          <w:szCs w:val="21"/>
        </w:rPr>
        <w:t>器材使用平面口镜，CPI探针，手套，照明灯。</w:t>
      </w:r>
    </w:p>
    <w:p w14:paraId="5432EB28">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6.1.6.2.2 </w:t>
      </w:r>
      <w:r>
        <w:rPr>
          <w:rFonts w:cs="宋体"/>
          <w:color w:val="000000"/>
          <w:sz w:val="21"/>
          <w:szCs w:val="21"/>
        </w:rPr>
        <w:t>按照GB/T26343的规定进行牙周的检查。</w:t>
      </w:r>
    </w:p>
    <w:p w14:paraId="49E46C26">
      <w:pPr>
        <w:snapToGrid w:val="0"/>
        <w:spacing w:line="288" w:lineRule="auto"/>
        <w:jc w:val="both"/>
        <w:rPr>
          <w:rFonts w:hint="default" w:ascii="黑体" w:eastAsia="黑体" w:cs="黑体"/>
          <w:color w:val="000000"/>
          <w:sz w:val="21"/>
          <w:szCs w:val="21"/>
        </w:rPr>
      </w:pPr>
      <w:r>
        <w:rPr>
          <w:rFonts w:ascii="黑体" w:eastAsia="黑体" w:cs="黑体"/>
          <w:color w:val="000000"/>
          <w:sz w:val="21"/>
          <w:szCs w:val="21"/>
        </w:rPr>
        <w:t xml:space="preserve">6.1.6.2.3 </w:t>
      </w:r>
      <w:r>
        <w:rPr>
          <w:rFonts w:cs="宋体"/>
          <w:color w:val="000000"/>
          <w:sz w:val="21"/>
          <w:szCs w:val="21"/>
        </w:rPr>
        <w:t>按照GB/T26343的规定进行牙周的诊断与记分。</w:t>
      </w:r>
    </w:p>
    <w:p w14:paraId="07E60DF8">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6.1.6.2.4 </w:t>
      </w:r>
      <w:r>
        <w:rPr>
          <w:rFonts w:cs="宋体"/>
          <w:color w:val="000000"/>
          <w:sz w:val="21"/>
          <w:szCs w:val="21"/>
        </w:rPr>
        <w:t>结果记录按区段记录</w:t>
      </w:r>
      <w:r>
        <w:rPr>
          <w:rFonts w:hint="eastAsia" w:cs="宋体"/>
          <w:color w:val="000000"/>
          <w:sz w:val="21"/>
          <w:szCs w:val="21"/>
          <w:lang w:eastAsia="zh-CN"/>
        </w:rPr>
        <w:t>，</w:t>
      </w:r>
      <w:r>
        <w:rPr>
          <w:rFonts w:cs="宋体"/>
          <w:color w:val="000000"/>
          <w:sz w:val="21"/>
          <w:szCs w:val="21"/>
        </w:rPr>
        <w:t>每颗指数牙以最重情况记分。以6个区段中最高记分作为个人CPI分值。</w:t>
      </w:r>
    </w:p>
    <w:p w14:paraId="34459FC2">
      <w:pPr>
        <w:snapToGrid w:val="0"/>
        <w:spacing w:line="288" w:lineRule="auto"/>
        <w:jc w:val="both"/>
        <w:rPr>
          <w:rFonts w:hint="default" w:cs="宋体"/>
          <w:color w:val="000000"/>
          <w:sz w:val="21"/>
          <w:szCs w:val="21"/>
        </w:rPr>
      </w:pPr>
      <w:r>
        <w:rPr>
          <w:rFonts w:ascii="黑体" w:eastAsia="黑体" w:cs="黑体"/>
          <w:color w:val="000000"/>
          <w:sz w:val="21"/>
          <w:szCs w:val="21"/>
        </w:rPr>
        <w:t xml:space="preserve">6.1.6.2.5 </w:t>
      </w:r>
      <w:r>
        <w:rPr>
          <w:rFonts w:cs="宋体"/>
          <w:color w:val="000000"/>
          <w:sz w:val="21"/>
          <w:szCs w:val="21"/>
        </w:rPr>
        <w:t>探诊时支点要稳</w:t>
      </w:r>
      <w:r>
        <w:rPr>
          <w:rFonts w:hint="eastAsia" w:cs="宋体"/>
          <w:color w:val="000000"/>
          <w:sz w:val="21"/>
          <w:szCs w:val="21"/>
          <w:lang w:eastAsia="zh-CN"/>
        </w:rPr>
        <w:t>，</w:t>
      </w:r>
      <w:r>
        <w:rPr>
          <w:rFonts w:cs="宋体"/>
          <w:color w:val="000000"/>
          <w:sz w:val="21"/>
          <w:szCs w:val="21"/>
        </w:rPr>
        <w:t>用力要轻柔</w:t>
      </w:r>
      <w:r>
        <w:rPr>
          <w:rFonts w:hint="eastAsia" w:cs="宋体"/>
          <w:color w:val="000000"/>
          <w:sz w:val="21"/>
          <w:szCs w:val="21"/>
          <w:lang w:eastAsia="zh-CN"/>
        </w:rPr>
        <w:t>，</w:t>
      </w:r>
      <w:r>
        <w:rPr>
          <w:rFonts w:cs="宋体"/>
          <w:color w:val="000000"/>
          <w:sz w:val="21"/>
          <w:szCs w:val="21"/>
        </w:rPr>
        <w:t>探诊的力度不大于20g</w:t>
      </w:r>
      <w:r>
        <w:rPr>
          <w:rFonts w:hint="eastAsia" w:cs="宋体"/>
          <w:color w:val="000000"/>
          <w:sz w:val="21"/>
          <w:szCs w:val="21"/>
          <w:lang w:eastAsia="zh-CN"/>
        </w:rPr>
        <w:t>，</w:t>
      </w:r>
      <w:r>
        <w:rPr>
          <w:rFonts w:cs="宋体"/>
          <w:color w:val="000000"/>
          <w:sz w:val="21"/>
          <w:szCs w:val="21"/>
        </w:rPr>
        <w:t>即将探针轻轻</w:t>
      </w:r>
      <w:r>
        <w:rPr>
          <w:rFonts w:hint="eastAsia" w:cs="宋体"/>
          <w:color w:val="000000"/>
          <w:sz w:val="21"/>
          <w:szCs w:val="21"/>
          <w:lang w:eastAsia="zh-CN"/>
        </w:rPr>
        <w:t>插入</w:t>
      </w:r>
      <w:r>
        <w:rPr>
          <w:rFonts w:cs="宋体"/>
          <w:color w:val="000000"/>
          <w:sz w:val="21"/>
          <w:szCs w:val="21"/>
        </w:rPr>
        <w:t>拇指甲沟内</w:t>
      </w:r>
      <w:r>
        <w:rPr>
          <w:rFonts w:hint="eastAsia" w:cs="宋体"/>
          <w:color w:val="000000"/>
          <w:sz w:val="21"/>
          <w:szCs w:val="21"/>
          <w:lang w:eastAsia="zh-CN"/>
        </w:rPr>
        <w:t>，</w:t>
      </w:r>
      <w:r>
        <w:rPr>
          <w:rFonts w:cs="宋体"/>
          <w:color w:val="000000"/>
          <w:sz w:val="21"/>
          <w:szCs w:val="21"/>
        </w:rPr>
        <w:t>轻轻压迫显示指盖发白且不造成疼痛或不舒服的感觉为适宜力量。</w:t>
      </w:r>
    </w:p>
    <w:p w14:paraId="1D7879BE">
      <w:pPr>
        <w:pStyle w:val="2"/>
        <w:numPr>
          <w:ilvl w:val="0"/>
          <w:numId w:val="0"/>
        </w:numPr>
        <w:snapToGrid w:val="0"/>
        <w:spacing w:before="120" w:after="120" w:line="288" w:lineRule="auto"/>
        <w:jc w:val="both"/>
        <w:rPr>
          <w:rFonts w:hint="default"/>
          <w:sz w:val="21"/>
          <w:szCs w:val="21"/>
        </w:rPr>
      </w:pPr>
      <w:r>
        <w:rPr>
          <w:sz w:val="21"/>
          <w:szCs w:val="21"/>
        </w:rPr>
        <w:t>6.1.7 月经和遗精</w:t>
      </w:r>
    </w:p>
    <w:p w14:paraId="0E4E6244">
      <w:pPr>
        <w:keepNext w:val="0"/>
        <w:keepLines w:val="0"/>
        <w:pageBreakBefore w:val="0"/>
        <w:widowControl w:val="0"/>
        <w:kinsoku/>
        <w:wordWrap/>
        <w:overflowPunct/>
        <w:topLinePunct w:val="0"/>
        <w:autoSpaceDE w:val="0"/>
        <w:autoSpaceDN w:val="0"/>
        <w:bidi w:val="0"/>
        <w:adjustRightInd w:val="0"/>
        <w:snapToGrid w:val="0"/>
        <w:spacing w:line="288" w:lineRule="auto"/>
        <w:ind w:firstLine="0" w:firstLineChars="0"/>
        <w:jc w:val="both"/>
        <w:textAlignment w:val="auto"/>
        <w:rPr>
          <w:rFonts w:hint="default" w:cs="宋体"/>
          <w:color w:val="000000"/>
          <w:sz w:val="21"/>
          <w:szCs w:val="21"/>
        </w:rPr>
      </w:pPr>
      <w:r>
        <w:rPr>
          <w:rFonts w:ascii="黑体" w:eastAsia="黑体" w:cs="黑体"/>
          <w:color w:val="000000"/>
          <w:sz w:val="21"/>
          <w:szCs w:val="21"/>
        </w:rPr>
        <w:t xml:space="preserve">6.1.7.1 </w:t>
      </w:r>
      <w:r>
        <w:rPr>
          <w:rFonts w:cs="宋体"/>
          <w:color w:val="000000"/>
          <w:sz w:val="21"/>
          <w:szCs w:val="21"/>
        </w:rPr>
        <w:t>女性检查人员询问9岁以上女生月经初潮项目，男性检查人员询问11岁以上男生首次遗精项目。</w:t>
      </w:r>
    </w:p>
    <w:p w14:paraId="5817A9A6">
      <w:pPr>
        <w:keepNext w:val="0"/>
        <w:keepLines w:val="0"/>
        <w:pageBreakBefore w:val="0"/>
        <w:widowControl w:val="0"/>
        <w:kinsoku/>
        <w:wordWrap/>
        <w:overflowPunct/>
        <w:topLinePunct w:val="0"/>
        <w:autoSpaceDE w:val="0"/>
        <w:autoSpaceDN w:val="0"/>
        <w:bidi w:val="0"/>
        <w:adjustRightInd w:val="0"/>
        <w:snapToGrid w:val="0"/>
        <w:spacing w:line="288" w:lineRule="auto"/>
        <w:ind w:firstLine="0" w:firstLineChars="0"/>
        <w:jc w:val="both"/>
        <w:textAlignment w:val="auto"/>
        <w:rPr>
          <w:rFonts w:hint="default" w:cs="宋体"/>
          <w:color w:val="000000"/>
          <w:sz w:val="21"/>
          <w:szCs w:val="21"/>
        </w:rPr>
      </w:pPr>
      <w:r>
        <w:rPr>
          <w:rFonts w:ascii="黑体" w:eastAsia="黑体" w:cs="黑体"/>
          <w:color w:val="000000"/>
          <w:sz w:val="21"/>
          <w:szCs w:val="21"/>
        </w:rPr>
        <w:t xml:space="preserve">6.1.7.2 </w:t>
      </w:r>
      <w:r>
        <w:rPr>
          <w:rFonts w:cs="宋体"/>
          <w:color w:val="000000"/>
          <w:sz w:val="21"/>
          <w:szCs w:val="21"/>
        </w:rPr>
        <w:t>月经和遗精情况如回答“是”，则询问并填写月经初潮和首次遗精年龄。</w:t>
      </w:r>
    </w:p>
    <w:p w14:paraId="7A2262C6">
      <w:pPr>
        <w:pStyle w:val="2"/>
        <w:numPr>
          <w:ilvl w:val="0"/>
          <w:numId w:val="0"/>
        </w:numPr>
        <w:snapToGrid w:val="0"/>
        <w:spacing w:before="120" w:after="120" w:line="288" w:lineRule="auto"/>
        <w:jc w:val="both"/>
        <w:rPr>
          <w:rFonts w:hint="default"/>
          <w:sz w:val="21"/>
          <w:szCs w:val="21"/>
        </w:rPr>
      </w:pPr>
      <w:r>
        <w:rPr>
          <w:sz w:val="21"/>
          <w:szCs w:val="21"/>
        </w:rPr>
        <w:t>6.2</w:t>
      </w:r>
      <w:r>
        <w:rPr>
          <w:rFonts w:hint="eastAsia"/>
          <w:sz w:val="21"/>
          <w:szCs w:val="21"/>
          <w:lang w:val="en-US" w:eastAsia="zh-CN"/>
        </w:rPr>
        <w:t xml:space="preserve">  </w:t>
      </w:r>
      <w:r>
        <w:rPr>
          <w:sz w:val="21"/>
          <w:szCs w:val="21"/>
        </w:rPr>
        <w:t>健康影响因素监测</w:t>
      </w:r>
    </w:p>
    <w:p w14:paraId="661D4AD6">
      <w:pPr>
        <w:snapToGrid w:val="0"/>
        <w:spacing w:line="288" w:lineRule="auto"/>
        <w:jc w:val="both"/>
        <w:rPr>
          <w:rFonts w:ascii="黑体" w:eastAsia="黑体" w:cs="黑体"/>
          <w:color w:val="000000"/>
          <w:sz w:val="21"/>
          <w:szCs w:val="21"/>
        </w:rPr>
      </w:pPr>
      <w:r>
        <w:rPr>
          <w:rFonts w:ascii="黑体" w:eastAsia="黑体" w:cs="黑体"/>
          <w:color w:val="000000"/>
          <w:sz w:val="21"/>
          <w:szCs w:val="21"/>
        </w:rPr>
        <w:t>6.2.1 管理部门学校卫生工作情况</w:t>
      </w:r>
    </w:p>
    <w:p w14:paraId="4BB9ABE9">
      <w:pPr>
        <w:snapToGrid w:val="0"/>
        <w:spacing w:line="288" w:lineRule="auto"/>
        <w:ind w:firstLine="420" w:firstLineChars="200"/>
        <w:jc w:val="both"/>
        <w:rPr>
          <w:rFonts w:hint="default" w:cs="宋体"/>
          <w:color w:val="000000"/>
          <w:sz w:val="21"/>
          <w:szCs w:val="21"/>
        </w:rPr>
      </w:pPr>
      <w:r>
        <w:rPr>
          <w:rFonts w:cs="宋体"/>
          <w:color w:val="000000"/>
          <w:sz w:val="21"/>
          <w:szCs w:val="21"/>
        </w:rPr>
        <w:t>监测内容包括市、区卫生和教育行政部门的学校卫生工作人员配备及经费情况、学校卫生工作多部门合作机制、</w:t>
      </w:r>
      <w:r>
        <w:rPr>
          <w:rFonts w:hint="eastAsia" w:cs="宋体"/>
          <w:color w:val="000000"/>
          <w:sz w:val="21"/>
          <w:szCs w:val="21"/>
          <w:lang w:val="en-US" w:eastAsia="zh-CN"/>
        </w:rPr>
        <w:t>学校卫生电子信息化系统建设情况、学生常见病监测和干预行动开展情况、学校卫生国家强制性标准知晓与宣传情况</w:t>
      </w:r>
      <w:r>
        <w:rPr>
          <w:rFonts w:cs="宋体"/>
          <w:color w:val="000000"/>
          <w:sz w:val="21"/>
          <w:szCs w:val="21"/>
        </w:rPr>
        <w:t>。</w:t>
      </w:r>
    </w:p>
    <w:p w14:paraId="01BAE4C2">
      <w:pPr>
        <w:pStyle w:val="2"/>
        <w:numPr>
          <w:ilvl w:val="0"/>
          <w:numId w:val="0"/>
        </w:numPr>
        <w:snapToGrid w:val="0"/>
        <w:spacing w:before="120" w:after="120" w:line="288" w:lineRule="auto"/>
        <w:jc w:val="both"/>
        <w:rPr>
          <w:rFonts w:hint="default"/>
          <w:sz w:val="21"/>
          <w:szCs w:val="21"/>
        </w:rPr>
      </w:pPr>
      <w:r>
        <w:rPr>
          <w:rFonts w:hint="default"/>
          <w:sz w:val="21"/>
          <w:szCs w:val="21"/>
        </w:rPr>
        <w:t>6.2.2 中小学校开展学校卫生工作情况</w:t>
      </w:r>
    </w:p>
    <w:p w14:paraId="47C3FE30">
      <w:pPr>
        <w:snapToGrid w:val="0"/>
        <w:spacing w:line="288" w:lineRule="auto"/>
        <w:ind w:firstLine="420" w:firstLineChars="200"/>
        <w:jc w:val="both"/>
        <w:rPr>
          <w:rFonts w:hint="default" w:cs="宋体"/>
          <w:color w:val="000000"/>
          <w:sz w:val="21"/>
          <w:szCs w:val="21"/>
        </w:rPr>
      </w:pPr>
      <w:r>
        <w:rPr>
          <w:rFonts w:cs="宋体"/>
          <w:color w:val="000000"/>
          <w:sz w:val="21"/>
          <w:szCs w:val="21"/>
        </w:rPr>
        <w:t>监测内容包括中小学校的学校基本情况、学校卫生工作及人员管理、学生体检开展情况、学校开展健康教育情况、学生疾病防控、学校体育活动、食品营养工作情况、教室环境卫生</w:t>
      </w:r>
      <w:r>
        <w:rPr>
          <w:rFonts w:hint="eastAsia" w:cs="宋体"/>
          <w:color w:val="000000"/>
          <w:sz w:val="21"/>
          <w:szCs w:val="21"/>
          <w:lang w:val="en-US" w:eastAsia="zh-CN"/>
        </w:rPr>
        <w:t>和学习用品监测、干预行动</w:t>
      </w:r>
      <w:r>
        <w:rPr>
          <w:rFonts w:cs="宋体"/>
          <w:color w:val="000000"/>
          <w:sz w:val="21"/>
          <w:szCs w:val="21"/>
        </w:rPr>
        <w:t>开展情况等。</w:t>
      </w:r>
    </w:p>
    <w:p w14:paraId="6A4F1C3F">
      <w:pPr>
        <w:pStyle w:val="2"/>
        <w:numPr>
          <w:ilvl w:val="0"/>
          <w:numId w:val="0"/>
        </w:numPr>
        <w:snapToGrid w:val="0"/>
        <w:spacing w:before="120" w:after="120" w:line="288" w:lineRule="auto"/>
        <w:jc w:val="both"/>
        <w:rPr>
          <w:rFonts w:hint="default"/>
          <w:sz w:val="21"/>
          <w:szCs w:val="21"/>
        </w:rPr>
      </w:pPr>
      <w:r>
        <w:rPr>
          <w:rFonts w:hint="default"/>
          <w:sz w:val="21"/>
          <w:szCs w:val="21"/>
        </w:rPr>
        <w:t>6.2.3 儿童青少年健康影响因素</w:t>
      </w:r>
    </w:p>
    <w:p w14:paraId="329BE8A1">
      <w:pPr>
        <w:snapToGrid w:val="0"/>
        <w:spacing w:line="288" w:lineRule="auto"/>
        <w:ind w:firstLine="420" w:firstLineChars="200"/>
        <w:jc w:val="both"/>
        <w:rPr>
          <w:rFonts w:hint="default" w:cs="宋体"/>
          <w:color w:val="000000"/>
          <w:sz w:val="21"/>
          <w:szCs w:val="21"/>
        </w:rPr>
      </w:pPr>
      <w:r>
        <w:rPr>
          <w:rFonts w:cs="宋体"/>
          <w:color w:val="000000"/>
          <w:sz w:val="21"/>
          <w:szCs w:val="21"/>
        </w:rPr>
        <w:t>监测内容包括</w:t>
      </w:r>
      <w:r>
        <w:rPr>
          <w:rFonts w:hint="eastAsia" w:cs="宋体"/>
          <w:color w:val="000000"/>
          <w:sz w:val="21"/>
          <w:szCs w:val="21"/>
          <w:lang w:val="en-US" w:eastAsia="zh-CN"/>
        </w:rPr>
        <w:t>基本信息、饮食和运动行为、校内用眼环境、校外用眼情况、读写姿势、电子屏幕使用情况、近距离用眼习惯、户外活动及睡眠情况、近视检查及矫正情况、心理因素、健康知识知晓情况、青春期健康教育</w:t>
      </w:r>
      <w:r>
        <w:rPr>
          <w:rFonts w:cs="宋体"/>
          <w:color w:val="000000"/>
          <w:sz w:val="21"/>
          <w:szCs w:val="21"/>
          <w:highlight w:val="none"/>
        </w:rPr>
        <w:t>。</w:t>
      </w:r>
    </w:p>
    <w:p w14:paraId="2E32341F">
      <w:pPr>
        <w:pStyle w:val="2"/>
        <w:numPr>
          <w:ilvl w:val="0"/>
          <w:numId w:val="0"/>
        </w:numPr>
        <w:snapToGrid w:val="0"/>
        <w:spacing w:before="120" w:after="120" w:line="288" w:lineRule="auto"/>
        <w:jc w:val="both"/>
        <w:rPr>
          <w:rFonts w:hint="default"/>
          <w:sz w:val="21"/>
          <w:szCs w:val="21"/>
        </w:rPr>
      </w:pPr>
      <w:r>
        <w:rPr>
          <w:sz w:val="21"/>
          <w:szCs w:val="21"/>
        </w:rPr>
        <w:t>6.3</w:t>
      </w:r>
      <w:r>
        <w:rPr>
          <w:rFonts w:hint="eastAsia"/>
          <w:sz w:val="21"/>
          <w:szCs w:val="21"/>
          <w:lang w:val="en-US" w:eastAsia="zh-CN"/>
        </w:rPr>
        <w:t xml:space="preserve">  </w:t>
      </w:r>
      <w:r>
        <w:rPr>
          <w:sz w:val="21"/>
          <w:szCs w:val="21"/>
        </w:rPr>
        <w:t>学校环境影响因素监测</w:t>
      </w:r>
    </w:p>
    <w:p w14:paraId="0F84CE91">
      <w:pPr>
        <w:snapToGrid w:val="0"/>
        <w:spacing w:line="288" w:lineRule="auto"/>
        <w:jc w:val="both"/>
        <w:rPr>
          <w:rFonts w:hint="default" w:cs="宋体"/>
          <w:color w:val="000000"/>
          <w:sz w:val="21"/>
          <w:szCs w:val="21"/>
        </w:rPr>
      </w:pPr>
      <w:r>
        <w:rPr>
          <w:rFonts w:ascii="黑体" w:eastAsia="黑体" w:cs="黑体"/>
          <w:color w:val="000000"/>
          <w:sz w:val="21"/>
          <w:szCs w:val="21"/>
        </w:rPr>
        <w:t xml:space="preserve">6.3.1 </w:t>
      </w:r>
      <w:r>
        <w:rPr>
          <w:rFonts w:cs="宋体"/>
          <w:color w:val="000000"/>
          <w:sz w:val="21"/>
          <w:szCs w:val="21"/>
        </w:rPr>
        <w:t>食堂卫生监测内容包括学校食堂的食品经营许可、管理制度、从业人员的管理等。</w:t>
      </w:r>
    </w:p>
    <w:p w14:paraId="0BC46780">
      <w:pPr>
        <w:snapToGrid w:val="0"/>
        <w:spacing w:line="288" w:lineRule="auto"/>
        <w:jc w:val="both"/>
        <w:rPr>
          <w:rFonts w:hint="default" w:cs="宋体"/>
          <w:color w:val="000000"/>
          <w:sz w:val="21"/>
          <w:szCs w:val="21"/>
        </w:rPr>
      </w:pPr>
      <w:r>
        <w:rPr>
          <w:rFonts w:ascii="黑体" w:eastAsia="黑体" w:cs="黑体"/>
          <w:color w:val="000000"/>
          <w:sz w:val="21"/>
          <w:szCs w:val="21"/>
        </w:rPr>
        <w:t xml:space="preserve">6.3.2 </w:t>
      </w:r>
      <w:r>
        <w:rPr>
          <w:rFonts w:cs="宋体"/>
          <w:color w:val="000000"/>
          <w:sz w:val="21"/>
          <w:szCs w:val="21"/>
        </w:rPr>
        <w:t>宿舍卫生监测内容为GB31177中规定的基本设施要求。</w:t>
      </w:r>
    </w:p>
    <w:p w14:paraId="2C7EF1D1">
      <w:pPr>
        <w:snapToGrid w:val="0"/>
        <w:spacing w:line="288" w:lineRule="auto"/>
        <w:jc w:val="both"/>
        <w:rPr>
          <w:rFonts w:hint="default" w:cs="宋体"/>
          <w:color w:val="000000"/>
          <w:sz w:val="21"/>
          <w:szCs w:val="21"/>
        </w:rPr>
      </w:pPr>
      <w:r>
        <w:rPr>
          <w:rFonts w:ascii="黑体" w:eastAsia="黑体" w:cs="黑体"/>
          <w:color w:val="000000"/>
          <w:sz w:val="21"/>
          <w:szCs w:val="21"/>
        </w:rPr>
        <w:t xml:space="preserve">6.3.3 </w:t>
      </w:r>
      <w:r>
        <w:rPr>
          <w:rFonts w:cs="宋体"/>
          <w:color w:val="000000"/>
          <w:sz w:val="21"/>
          <w:szCs w:val="21"/>
        </w:rPr>
        <w:t>卫生间监测内容为GB50099中规定的卫生间要求。</w:t>
      </w:r>
    </w:p>
    <w:p w14:paraId="444CB2B0">
      <w:pPr>
        <w:snapToGrid w:val="0"/>
        <w:spacing w:line="288" w:lineRule="auto"/>
        <w:jc w:val="both"/>
        <w:rPr>
          <w:rFonts w:hint="default" w:cs="宋体"/>
          <w:color w:val="000000"/>
          <w:sz w:val="21"/>
          <w:szCs w:val="21"/>
        </w:rPr>
      </w:pPr>
      <w:r>
        <w:rPr>
          <w:rFonts w:ascii="黑体" w:eastAsia="黑体" w:cs="黑体"/>
          <w:color w:val="000000"/>
          <w:sz w:val="21"/>
          <w:szCs w:val="21"/>
        </w:rPr>
        <w:t xml:space="preserve">6.3.4 </w:t>
      </w:r>
      <w:r>
        <w:rPr>
          <w:rFonts w:cs="宋体"/>
          <w:color w:val="000000"/>
          <w:sz w:val="21"/>
          <w:szCs w:val="21"/>
        </w:rPr>
        <w:t>教室环境卫生监测项目包括教室人均面积、课桌椅分配符合率、黑板尺寸、黑板面平均照度、黑板面照度均匀度、课桌面平均照度、课桌面照度均匀度、黑板反射比、后（侧、前）墙壁反射比、采光系数、窗地面积比、温度、相对湿度、风速、噪声和二氧化碳。</w:t>
      </w:r>
    </w:p>
    <w:p w14:paraId="75F614A8">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6.3.4.1 </w:t>
      </w:r>
      <w:r>
        <w:rPr>
          <w:rFonts w:cs="宋体"/>
          <w:color w:val="000000"/>
          <w:sz w:val="21"/>
          <w:szCs w:val="21"/>
        </w:rPr>
        <w:t>教室人均面积仪器使用手持式激光测距仪，按照GB/T18205的规定进行测量和判定。</w:t>
      </w:r>
    </w:p>
    <w:p w14:paraId="56A2E1CB">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6.3.4.2 </w:t>
      </w:r>
      <w:r>
        <w:rPr>
          <w:rFonts w:cs="宋体"/>
          <w:color w:val="000000"/>
          <w:sz w:val="21"/>
          <w:szCs w:val="21"/>
        </w:rPr>
        <w:t>课桌椅分配符合率仪器使用学生身高及课桌椅型号测量尺，按照GB/T3976的规定进行测量和判定。</w:t>
      </w:r>
    </w:p>
    <w:p w14:paraId="4EF5F4C3">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6.3.4.3 </w:t>
      </w:r>
      <w:r>
        <w:rPr>
          <w:rFonts w:cs="宋体"/>
          <w:color w:val="000000"/>
          <w:sz w:val="21"/>
          <w:szCs w:val="21"/>
        </w:rPr>
        <w:t>黑板尺寸用测量尺测量黑板高度、宽度和黑板下缘与讲台地面的垂直距离，按照GB50099的规定进行判定。</w:t>
      </w:r>
    </w:p>
    <w:p w14:paraId="0DCB396B">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6.3.4.4 </w:t>
      </w:r>
      <w:r>
        <w:rPr>
          <w:rFonts w:cs="宋体"/>
          <w:color w:val="000000"/>
          <w:sz w:val="21"/>
          <w:szCs w:val="21"/>
        </w:rPr>
        <w:t>黑板面平均照度和照度均匀度仪器使用照度计，按照GB/T5700的规定进行测量，按照GB7793的规定进行判定。</w:t>
      </w:r>
    </w:p>
    <w:p w14:paraId="505D5AF0">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6.3.4.5 </w:t>
      </w:r>
      <w:r>
        <w:rPr>
          <w:rFonts w:cs="宋体"/>
          <w:color w:val="000000"/>
          <w:sz w:val="21"/>
          <w:szCs w:val="21"/>
        </w:rPr>
        <w:t>课桌面平均照度和照度均匀度仪器使用照度计，按照GB/T5700的规定进行测量，按照GB7793的规定进行判定。</w:t>
      </w:r>
    </w:p>
    <w:p w14:paraId="0537131C">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6.3.4.6 </w:t>
      </w:r>
      <w:r>
        <w:rPr>
          <w:rFonts w:cs="宋体"/>
          <w:color w:val="000000"/>
          <w:sz w:val="21"/>
          <w:szCs w:val="21"/>
        </w:rPr>
        <w:t>黑板反射比、后（侧、前）墙壁反射比仪器使用照度计，按照GB/T5699的规定进行测量，按照GB7793的规定进行判定。</w:t>
      </w:r>
    </w:p>
    <w:p w14:paraId="497E66B6">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6.3.4.7 </w:t>
      </w:r>
      <w:r>
        <w:rPr>
          <w:rFonts w:cs="宋体"/>
          <w:color w:val="000000"/>
          <w:sz w:val="21"/>
          <w:szCs w:val="21"/>
        </w:rPr>
        <w:t>采光系数仪器使用照度计，按照GB/T18205的规定进行测量，按照GB7793的规定进行判定。</w:t>
      </w:r>
    </w:p>
    <w:p w14:paraId="3F7D86A3">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6.3.4.8 </w:t>
      </w:r>
      <w:r>
        <w:rPr>
          <w:rFonts w:cs="宋体"/>
          <w:color w:val="000000"/>
          <w:sz w:val="21"/>
          <w:szCs w:val="21"/>
        </w:rPr>
        <w:t>窗地面积比仪器使用手持式激光测距仪，按照GB/T18205的规定进行测量，按照GB7793的规定进行判定。</w:t>
      </w:r>
    </w:p>
    <w:p w14:paraId="4579E6D6">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6.3.4.9 </w:t>
      </w:r>
      <w:r>
        <w:rPr>
          <w:rFonts w:cs="宋体"/>
          <w:color w:val="000000"/>
          <w:sz w:val="21"/>
          <w:szCs w:val="21"/>
        </w:rPr>
        <w:t>温度、相对湿度仪器使用温湿度计，按照GB/T18204.1的规定进行测量，按照GB/T17225的规定进行判定。</w:t>
      </w:r>
    </w:p>
    <w:p w14:paraId="25B777C2">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6.3.4.10 </w:t>
      </w:r>
      <w:r>
        <w:rPr>
          <w:rFonts w:cs="宋体"/>
          <w:color w:val="000000"/>
          <w:sz w:val="21"/>
          <w:szCs w:val="21"/>
        </w:rPr>
        <w:t>风速仪器使用风速仪，按照GB/T18204.1的规定进行测量，按照GB/T17225的规定进行判定。</w:t>
      </w:r>
    </w:p>
    <w:p w14:paraId="51579B68">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6.3.4.11 </w:t>
      </w:r>
      <w:r>
        <w:rPr>
          <w:rFonts w:cs="宋体"/>
          <w:color w:val="000000"/>
          <w:sz w:val="21"/>
          <w:szCs w:val="21"/>
        </w:rPr>
        <w:t>噪声仪器使用数字声级计，按照GB/T18204.1和GB/T18205的规定进行测量，按照GB50099的规定进行判定。</w:t>
      </w:r>
    </w:p>
    <w:p w14:paraId="202C0FCB">
      <w:pPr>
        <w:keepNext w:val="0"/>
        <w:keepLines w:val="0"/>
        <w:pageBreakBefore w:val="0"/>
        <w:widowControl w:val="0"/>
        <w:kinsoku/>
        <w:wordWrap/>
        <w:overflowPunct/>
        <w:topLinePunct w:val="0"/>
        <w:autoSpaceDE w:val="0"/>
        <w:autoSpaceDN w:val="0"/>
        <w:bidi w:val="0"/>
        <w:adjustRightInd w:val="0"/>
        <w:snapToGrid w:val="0"/>
        <w:spacing w:line="288" w:lineRule="auto"/>
        <w:jc w:val="both"/>
        <w:textAlignment w:val="auto"/>
        <w:rPr>
          <w:rFonts w:hint="default" w:cs="宋体"/>
          <w:color w:val="000000"/>
          <w:sz w:val="21"/>
          <w:szCs w:val="21"/>
        </w:rPr>
      </w:pPr>
      <w:r>
        <w:rPr>
          <w:rFonts w:ascii="黑体" w:eastAsia="黑体" w:cs="黑体"/>
          <w:color w:val="000000"/>
          <w:sz w:val="21"/>
          <w:szCs w:val="21"/>
        </w:rPr>
        <w:t xml:space="preserve">6.3.4.12 </w:t>
      </w:r>
      <w:r>
        <w:rPr>
          <w:rFonts w:cs="宋体"/>
          <w:color w:val="000000"/>
          <w:sz w:val="21"/>
          <w:szCs w:val="21"/>
        </w:rPr>
        <w:t>二氧化碳仪器使用</w:t>
      </w:r>
      <w:r>
        <w:rPr>
          <w:rFonts w:hint="eastAsia" w:cs="宋体"/>
          <w:color w:val="000000"/>
          <w:sz w:val="21"/>
          <w:szCs w:val="21"/>
          <w:lang w:val="en-US" w:eastAsia="zh-CN"/>
        </w:rPr>
        <w:t>不分光</w:t>
      </w:r>
      <w:r>
        <w:rPr>
          <w:rFonts w:cs="宋体"/>
          <w:color w:val="000000"/>
          <w:sz w:val="21"/>
          <w:szCs w:val="21"/>
        </w:rPr>
        <w:t>红外线</w:t>
      </w:r>
      <w:r>
        <w:rPr>
          <w:rFonts w:hint="eastAsia" w:cs="宋体"/>
          <w:color w:val="000000"/>
          <w:sz w:val="21"/>
          <w:szCs w:val="21"/>
          <w:lang w:val="en-US" w:eastAsia="zh-CN"/>
        </w:rPr>
        <w:t>二氧化碳气体分析仪</w:t>
      </w:r>
      <w:r>
        <w:rPr>
          <w:rFonts w:cs="宋体"/>
          <w:color w:val="000000"/>
          <w:sz w:val="21"/>
          <w:szCs w:val="21"/>
        </w:rPr>
        <w:t>，按照GB/T18204.2的规定进行测量，按照GB/T17226的规定进行判定。</w:t>
      </w:r>
    </w:p>
    <w:p w14:paraId="63C52193">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 xml:space="preserve">7  </w:t>
      </w:r>
      <w:r>
        <w:rPr>
          <w:sz w:val="21"/>
          <w:szCs w:val="21"/>
        </w:rPr>
        <w:t>质量控制要求</w:t>
      </w:r>
    </w:p>
    <w:p w14:paraId="60D16DB7">
      <w:pPr>
        <w:pStyle w:val="2"/>
        <w:numPr>
          <w:ilvl w:val="0"/>
          <w:numId w:val="0"/>
        </w:numPr>
        <w:snapToGrid w:val="0"/>
        <w:spacing w:before="120" w:after="120" w:line="288" w:lineRule="auto"/>
        <w:jc w:val="both"/>
        <w:rPr>
          <w:rFonts w:hint="default"/>
          <w:sz w:val="21"/>
          <w:szCs w:val="21"/>
        </w:rPr>
      </w:pPr>
      <w:r>
        <w:rPr>
          <w:rFonts w:hint="eastAsia"/>
          <w:sz w:val="21"/>
          <w:szCs w:val="21"/>
          <w:lang w:val="en-US" w:eastAsia="zh-CN"/>
        </w:rPr>
        <w:t>7</w:t>
      </w:r>
      <w:r>
        <w:rPr>
          <w:sz w:val="21"/>
          <w:szCs w:val="21"/>
        </w:rPr>
        <w:t>.1</w:t>
      </w:r>
      <w:r>
        <w:rPr>
          <w:rFonts w:hint="eastAsia"/>
          <w:sz w:val="21"/>
          <w:szCs w:val="21"/>
          <w:lang w:val="en-US" w:eastAsia="zh-CN"/>
        </w:rPr>
        <w:t xml:space="preserve">  </w:t>
      </w:r>
      <w:r>
        <w:rPr>
          <w:sz w:val="21"/>
          <w:szCs w:val="21"/>
        </w:rPr>
        <w:t>监测过程质控</w:t>
      </w:r>
    </w:p>
    <w:p w14:paraId="69FBF6D5">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7</w:t>
      </w:r>
      <w:r>
        <w:rPr>
          <w:rFonts w:ascii="黑体" w:eastAsia="黑体" w:cs="黑体"/>
          <w:color w:val="000000"/>
          <w:sz w:val="21"/>
          <w:szCs w:val="21"/>
        </w:rPr>
        <w:t xml:space="preserve">.1.1 </w:t>
      </w:r>
      <w:r>
        <w:rPr>
          <w:rFonts w:cs="宋体"/>
          <w:color w:val="000000"/>
          <w:sz w:val="21"/>
          <w:szCs w:val="21"/>
        </w:rPr>
        <w:t>常见病监测过程质控应满足以下要求：</w:t>
      </w:r>
    </w:p>
    <w:p w14:paraId="6649575C">
      <w:pPr>
        <w:pStyle w:val="19"/>
        <w:numPr>
          <w:ilvl w:val="0"/>
          <w:numId w:val="7"/>
        </w:numPr>
        <w:tabs>
          <w:tab w:val="left" w:pos="0"/>
        </w:tabs>
        <w:snapToGrid w:val="0"/>
        <w:spacing w:line="288" w:lineRule="auto"/>
        <w:jc w:val="both"/>
        <w:rPr>
          <w:rFonts w:hint="default" w:cs="宋体"/>
          <w:color w:val="000000"/>
          <w:sz w:val="21"/>
          <w:szCs w:val="21"/>
        </w:rPr>
      </w:pPr>
      <w:r>
        <w:rPr>
          <w:rFonts w:cs="宋体"/>
          <w:color w:val="000000"/>
          <w:sz w:val="21"/>
          <w:szCs w:val="21"/>
        </w:rPr>
        <w:t>应现场确认检测卡片上各项测试数据和结果准确、无误、无缺、</w:t>
      </w:r>
      <w:r>
        <w:rPr>
          <w:rFonts w:hint="eastAsia" w:cs="宋体"/>
          <w:color w:val="000000"/>
          <w:sz w:val="21"/>
          <w:szCs w:val="21"/>
          <w:lang w:eastAsia="zh-CN"/>
        </w:rPr>
        <w:t>无异</w:t>
      </w:r>
      <w:r>
        <w:rPr>
          <w:rFonts w:cs="宋体"/>
          <w:color w:val="000000"/>
          <w:sz w:val="21"/>
          <w:szCs w:val="21"/>
        </w:rPr>
        <w:t>，字迹清楚，符合要求；</w:t>
      </w:r>
    </w:p>
    <w:p w14:paraId="0B1AD793">
      <w:pPr>
        <w:pStyle w:val="19"/>
        <w:numPr>
          <w:ilvl w:val="0"/>
          <w:numId w:val="7"/>
        </w:numPr>
        <w:tabs>
          <w:tab w:val="left" w:pos="0"/>
        </w:tabs>
        <w:snapToGrid w:val="0"/>
        <w:spacing w:line="288" w:lineRule="auto"/>
        <w:jc w:val="both"/>
        <w:rPr>
          <w:rFonts w:hint="default" w:cs="宋体"/>
          <w:color w:val="000000"/>
          <w:sz w:val="21"/>
          <w:szCs w:val="21"/>
        </w:rPr>
      </w:pPr>
      <w:r>
        <w:rPr>
          <w:rFonts w:cs="宋体"/>
          <w:color w:val="000000"/>
          <w:sz w:val="21"/>
          <w:szCs w:val="21"/>
        </w:rPr>
        <w:t>身高、体重、远视力及屈光检查应由质控人员进行随机抽样复测，复测的操作见附录B；</w:t>
      </w:r>
    </w:p>
    <w:p w14:paraId="7315535B">
      <w:pPr>
        <w:pStyle w:val="19"/>
        <w:numPr>
          <w:ilvl w:val="0"/>
          <w:numId w:val="7"/>
        </w:numPr>
        <w:tabs>
          <w:tab w:val="left" w:pos="0"/>
        </w:tabs>
        <w:snapToGrid w:val="0"/>
        <w:spacing w:line="288"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调查及质控人员应现场签字。</w:t>
      </w:r>
    </w:p>
    <w:p w14:paraId="3FAFA2FA">
      <w:pPr>
        <w:snapToGrid w:val="0"/>
        <w:spacing w:line="288" w:lineRule="auto"/>
        <w:jc w:val="both"/>
        <w:rPr>
          <w:rFonts w:hint="eastAsia" w:ascii="宋体" w:hAnsi="宋体" w:eastAsia="宋体" w:cs="宋体"/>
          <w:color w:val="000000"/>
          <w:sz w:val="21"/>
          <w:szCs w:val="21"/>
        </w:rPr>
      </w:pPr>
      <w:r>
        <w:rPr>
          <w:rFonts w:hint="eastAsia" w:ascii="黑体" w:hAnsi="黑体" w:eastAsia="黑体" w:cs="黑体"/>
          <w:color w:val="000000"/>
          <w:sz w:val="21"/>
          <w:szCs w:val="21"/>
          <w:lang w:val="en-US" w:eastAsia="zh-CN"/>
        </w:rPr>
        <w:t>7</w:t>
      </w:r>
      <w:r>
        <w:rPr>
          <w:rFonts w:hint="eastAsia" w:ascii="黑体" w:hAnsi="黑体" w:eastAsia="黑体" w:cs="黑体"/>
          <w:color w:val="000000"/>
          <w:sz w:val="21"/>
          <w:szCs w:val="21"/>
        </w:rPr>
        <w:t>.1.2</w:t>
      </w:r>
      <w:r>
        <w:rPr>
          <w:rFonts w:hint="eastAsia" w:ascii="宋体" w:hAnsi="宋体" w:eastAsia="宋体" w:cs="宋体"/>
          <w:color w:val="000000"/>
          <w:sz w:val="21"/>
          <w:szCs w:val="21"/>
        </w:rPr>
        <w:t xml:space="preserve"> 健康影响因素监测过程质控应符合以下要求：</w:t>
      </w:r>
    </w:p>
    <w:p w14:paraId="175C2FAE">
      <w:pPr>
        <w:pStyle w:val="19"/>
        <w:numPr>
          <w:ilvl w:val="0"/>
          <w:numId w:val="8"/>
        </w:numPr>
        <w:tabs>
          <w:tab w:val="left" w:pos="0"/>
        </w:tabs>
        <w:snapToGrid w:val="0"/>
        <w:spacing w:line="288"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应核实监测对象编码、年龄段、人数是否符合要求；</w:t>
      </w:r>
    </w:p>
    <w:p w14:paraId="26F552F9">
      <w:pPr>
        <w:pStyle w:val="19"/>
        <w:numPr>
          <w:ilvl w:val="0"/>
          <w:numId w:val="8"/>
        </w:numPr>
        <w:tabs>
          <w:tab w:val="left" w:pos="0"/>
        </w:tabs>
        <w:snapToGrid w:val="0"/>
        <w:spacing w:line="288"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现场应核查监测项目内容，避免缺项、漏项、缺失核心条目；</w:t>
      </w:r>
    </w:p>
    <w:p w14:paraId="7692301C">
      <w:pPr>
        <w:pStyle w:val="19"/>
        <w:numPr>
          <w:ilvl w:val="0"/>
          <w:numId w:val="8"/>
        </w:numPr>
        <w:tabs>
          <w:tab w:val="left" w:pos="0"/>
        </w:tabs>
        <w:snapToGrid w:val="0"/>
        <w:spacing w:line="288"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缺项超过20%的问卷如不能补填应按照无效问卷登记并剔除，剔除后的监测对象人数仍应符合监测总体数量要求；</w:t>
      </w:r>
    </w:p>
    <w:p w14:paraId="2CE7DFFA">
      <w:pPr>
        <w:pStyle w:val="19"/>
        <w:numPr>
          <w:ilvl w:val="0"/>
          <w:numId w:val="8"/>
        </w:numPr>
        <w:tabs>
          <w:tab w:val="left" w:pos="0"/>
        </w:tabs>
        <w:snapToGrid w:val="0"/>
        <w:spacing w:line="288"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调查及质控人员应现场签字。</w:t>
      </w:r>
    </w:p>
    <w:p w14:paraId="4BDEC1F5">
      <w:pPr>
        <w:snapToGrid w:val="0"/>
        <w:spacing w:line="288" w:lineRule="auto"/>
        <w:jc w:val="both"/>
        <w:rPr>
          <w:rFonts w:hint="eastAsia" w:ascii="宋体" w:hAnsi="宋体" w:eastAsia="宋体" w:cs="宋体"/>
          <w:color w:val="000000"/>
          <w:sz w:val="21"/>
          <w:szCs w:val="21"/>
        </w:rPr>
      </w:pPr>
      <w:r>
        <w:rPr>
          <w:rFonts w:hint="eastAsia" w:ascii="黑体" w:hAnsi="黑体" w:eastAsia="黑体" w:cs="黑体"/>
          <w:color w:val="000000"/>
          <w:sz w:val="21"/>
          <w:szCs w:val="21"/>
          <w:lang w:val="en-US" w:eastAsia="zh-CN"/>
        </w:rPr>
        <w:t>7</w:t>
      </w:r>
      <w:r>
        <w:rPr>
          <w:rFonts w:hint="eastAsia" w:ascii="黑体" w:hAnsi="黑体" w:eastAsia="黑体" w:cs="黑体"/>
          <w:color w:val="000000"/>
          <w:sz w:val="21"/>
          <w:szCs w:val="21"/>
        </w:rPr>
        <w:t>.1.3</w:t>
      </w:r>
      <w:r>
        <w:rPr>
          <w:rFonts w:hint="eastAsia" w:ascii="宋体" w:hAnsi="宋体" w:eastAsia="宋体" w:cs="宋体"/>
          <w:color w:val="000000"/>
          <w:sz w:val="21"/>
          <w:szCs w:val="21"/>
        </w:rPr>
        <w:t xml:space="preserve"> 教室环境卫生监测质控应根据RB/T208，按年度质量控制计划进行以下比对：</w:t>
      </w:r>
    </w:p>
    <w:p w14:paraId="3C99E432">
      <w:pPr>
        <w:pStyle w:val="19"/>
        <w:numPr>
          <w:ilvl w:val="0"/>
          <w:numId w:val="9"/>
        </w:numPr>
        <w:tabs>
          <w:tab w:val="left" w:pos="0"/>
        </w:tabs>
        <w:snapToGrid w:val="0"/>
        <w:spacing w:line="288" w:lineRule="auto"/>
        <w:jc w:val="both"/>
        <w:rPr>
          <w:rFonts w:hint="default" w:cs="宋体"/>
          <w:color w:val="000000"/>
          <w:sz w:val="21"/>
          <w:szCs w:val="21"/>
        </w:rPr>
      </w:pPr>
      <w:r>
        <w:rPr>
          <w:rFonts w:hint="eastAsia" w:ascii="宋体" w:hAnsi="宋体" w:eastAsia="宋体" w:cs="宋体"/>
          <w:color w:val="000000"/>
          <w:sz w:val="21"/>
          <w:szCs w:val="21"/>
        </w:rPr>
        <w:t>人员比对：相同环境条件下，采用相同</w:t>
      </w:r>
      <w:r>
        <w:rPr>
          <w:rFonts w:cs="宋体"/>
          <w:color w:val="000000"/>
          <w:sz w:val="21"/>
          <w:szCs w:val="21"/>
        </w:rPr>
        <w:t>检测方法、相同的教室环境卫</w:t>
      </w:r>
      <w:r>
        <w:rPr>
          <w:rFonts w:cs="宋体"/>
          <w:color w:val="000000"/>
          <w:sz w:val="21"/>
          <w:szCs w:val="21"/>
          <w:highlight w:val="none"/>
        </w:rPr>
        <w:t>生</w:t>
      </w:r>
      <w:r>
        <w:rPr>
          <w:rFonts w:hint="eastAsia" w:cs="宋体"/>
          <w:color w:val="000000"/>
          <w:sz w:val="21"/>
          <w:szCs w:val="21"/>
          <w:highlight w:val="none"/>
          <w:lang w:val="en-US" w:eastAsia="zh-CN"/>
        </w:rPr>
        <w:t>检测</w:t>
      </w:r>
      <w:r>
        <w:rPr>
          <w:rFonts w:cs="宋体"/>
          <w:color w:val="000000"/>
          <w:sz w:val="21"/>
          <w:szCs w:val="21"/>
          <w:highlight w:val="none"/>
        </w:rPr>
        <w:t>设</w:t>
      </w:r>
      <w:r>
        <w:rPr>
          <w:rFonts w:cs="宋体"/>
          <w:color w:val="000000"/>
          <w:sz w:val="21"/>
          <w:szCs w:val="21"/>
        </w:rPr>
        <w:t>备</w:t>
      </w:r>
      <w:r>
        <w:rPr>
          <w:rFonts w:hint="eastAsia" w:cs="宋体"/>
          <w:color w:val="000000"/>
          <w:sz w:val="21"/>
          <w:szCs w:val="21"/>
          <w:lang w:val="en-US" w:eastAsia="zh-CN"/>
        </w:rPr>
        <w:t>和仪器</w:t>
      </w:r>
      <w:r>
        <w:rPr>
          <w:rFonts w:cs="宋体"/>
          <w:color w:val="000000"/>
          <w:sz w:val="21"/>
          <w:szCs w:val="21"/>
        </w:rPr>
        <w:t>，由不同的监测人员对同一样品进行检测，可在同一检测点进行人员比对；</w:t>
      </w:r>
    </w:p>
    <w:p w14:paraId="069FDE10">
      <w:pPr>
        <w:pStyle w:val="19"/>
        <w:numPr>
          <w:ilvl w:val="0"/>
          <w:numId w:val="9"/>
        </w:numPr>
        <w:tabs>
          <w:tab w:val="left" w:pos="0"/>
        </w:tabs>
        <w:snapToGrid w:val="0"/>
        <w:spacing w:line="288" w:lineRule="auto"/>
        <w:jc w:val="both"/>
        <w:rPr>
          <w:rFonts w:hint="default" w:cs="宋体"/>
          <w:color w:val="000000"/>
          <w:sz w:val="21"/>
          <w:szCs w:val="21"/>
        </w:rPr>
      </w:pPr>
      <w:r>
        <w:rPr>
          <w:rFonts w:cs="宋体"/>
          <w:color w:val="000000"/>
          <w:sz w:val="21"/>
          <w:szCs w:val="21"/>
        </w:rPr>
        <w:t>仪器比对：相同环境条件下，采用相同检测方法、相同的监测人员，采用不同编号的同类检测仪器设备对同一样品进行检测，可在同一检测点进行仪器比对。</w:t>
      </w:r>
    </w:p>
    <w:p w14:paraId="3CDEAFF8">
      <w:pPr>
        <w:pStyle w:val="2"/>
        <w:numPr>
          <w:ilvl w:val="0"/>
          <w:numId w:val="0"/>
        </w:numPr>
        <w:snapToGrid w:val="0"/>
        <w:spacing w:before="120" w:after="120" w:line="288" w:lineRule="auto"/>
        <w:jc w:val="both"/>
        <w:rPr>
          <w:rFonts w:hint="default"/>
          <w:sz w:val="21"/>
          <w:szCs w:val="21"/>
        </w:rPr>
      </w:pPr>
      <w:r>
        <w:rPr>
          <w:rFonts w:hint="eastAsia"/>
          <w:sz w:val="21"/>
          <w:szCs w:val="21"/>
          <w:lang w:val="en-US" w:eastAsia="zh-CN"/>
        </w:rPr>
        <w:t>7</w:t>
      </w:r>
      <w:r>
        <w:rPr>
          <w:sz w:val="21"/>
          <w:szCs w:val="21"/>
        </w:rPr>
        <w:t>.2</w:t>
      </w:r>
      <w:r>
        <w:rPr>
          <w:rFonts w:hint="eastAsia"/>
          <w:sz w:val="21"/>
          <w:szCs w:val="21"/>
          <w:lang w:val="en-US" w:eastAsia="zh-CN"/>
        </w:rPr>
        <w:t xml:space="preserve">  </w:t>
      </w:r>
      <w:r>
        <w:rPr>
          <w:sz w:val="21"/>
          <w:szCs w:val="21"/>
        </w:rPr>
        <w:t>数据管理质控</w:t>
      </w:r>
    </w:p>
    <w:p w14:paraId="3C6DD836">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7</w:t>
      </w:r>
      <w:r>
        <w:rPr>
          <w:rFonts w:ascii="黑体" w:eastAsia="黑体" w:cs="黑体"/>
          <w:color w:val="000000"/>
          <w:sz w:val="21"/>
          <w:szCs w:val="21"/>
        </w:rPr>
        <w:t xml:space="preserve">.2.1 </w:t>
      </w:r>
      <w:r>
        <w:rPr>
          <w:rFonts w:cs="宋体"/>
          <w:color w:val="000000"/>
          <w:sz w:val="21"/>
          <w:szCs w:val="21"/>
        </w:rPr>
        <w:t>应有专人负责现场监测表格或问卷的收集。质控人员发现异常结果应进行核实，并确定补测或复测的时间和人数，重新监测。</w:t>
      </w:r>
    </w:p>
    <w:p w14:paraId="6BC5EB85">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7</w:t>
      </w:r>
      <w:r>
        <w:rPr>
          <w:rFonts w:ascii="黑体" w:eastAsia="黑体" w:cs="黑体"/>
          <w:color w:val="000000"/>
          <w:sz w:val="21"/>
          <w:szCs w:val="21"/>
        </w:rPr>
        <w:t xml:space="preserve">.2.2 </w:t>
      </w:r>
      <w:r>
        <w:rPr>
          <w:rFonts w:cs="宋体"/>
          <w:color w:val="000000"/>
          <w:sz w:val="21"/>
          <w:szCs w:val="21"/>
        </w:rPr>
        <w:t>数据应采用双录入。应对数据库进行整理核查，异常数据应反馈监测人员进行核对或重测，数据错误应更正。</w:t>
      </w:r>
    </w:p>
    <w:p w14:paraId="7B8ABC88">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 xml:space="preserve">8  </w:t>
      </w:r>
      <w:r>
        <w:rPr>
          <w:sz w:val="21"/>
          <w:szCs w:val="21"/>
        </w:rPr>
        <w:t>卫生应急要求</w:t>
      </w:r>
    </w:p>
    <w:p w14:paraId="38D5F19B">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8</w:t>
      </w:r>
      <w:r>
        <w:rPr>
          <w:rFonts w:ascii="黑体" w:eastAsia="黑体" w:cs="黑体"/>
          <w:color w:val="000000"/>
          <w:sz w:val="21"/>
          <w:szCs w:val="21"/>
        </w:rPr>
        <w:t xml:space="preserve">.1 </w:t>
      </w:r>
      <w:r>
        <w:rPr>
          <w:rFonts w:cs="宋体"/>
          <w:color w:val="000000"/>
          <w:sz w:val="21"/>
          <w:szCs w:val="21"/>
        </w:rPr>
        <w:t>健康监测机构和学校应分别制订儿童青少年监测应急管理方案，包括应急小组成员名单及分工，突发公共卫生事件应急处理预案等，并定期开展人员培训和应急演练。</w:t>
      </w:r>
    </w:p>
    <w:p w14:paraId="2D4CAFDF">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8</w:t>
      </w:r>
      <w:r>
        <w:rPr>
          <w:rFonts w:ascii="黑体" w:eastAsia="黑体" w:cs="黑体"/>
          <w:color w:val="000000"/>
          <w:sz w:val="21"/>
          <w:szCs w:val="21"/>
        </w:rPr>
        <w:t xml:space="preserve">.2 </w:t>
      </w:r>
      <w:r>
        <w:rPr>
          <w:rFonts w:cs="宋体"/>
          <w:color w:val="000000"/>
          <w:sz w:val="21"/>
          <w:szCs w:val="21"/>
        </w:rPr>
        <w:t>常见病监测现场应设置卫生应急临时处置区，并配备应急设备</w:t>
      </w:r>
      <w:r>
        <w:rPr>
          <w:rFonts w:hint="eastAsia" w:cs="宋体"/>
          <w:color w:val="000000"/>
          <w:sz w:val="21"/>
          <w:szCs w:val="21"/>
          <w:lang w:eastAsia="zh-CN"/>
        </w:rPr>
        <w:t>、</w:t>
      </w:r>
      <w:r>
        <w:rPr>
          <w:rFonts w:hint="eastAsia" w:cs="宋体"/>
          <w:color w:val="000000"/>
          <w:sz w:val="21"/>
          <w:szCs w:val="21"/>
          <w:lang w:val="en-US" w:eastAsia="zh-CN"/>
        </w:rPr>
        <w:t>急救药品</w:t>
      </w:r>
      <w:r>
        <w:rPr>
          <w:rFonts w:cs="宋体"/>
          <w:color w:val="000000"/>
          <w:sz w:val="21"/>
          <w:szCs w:val="21"/>
        </w:rPr>
        <w:t>。</w:t>
      </w:r>
    </w:p>
    <w:p w14:paraId="52E5AD3C">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8</w:t>
      </w:r>
      <w:r>
        <w:rPr>
          <w:rFonts w:ascii="黑体" w:eastAsia="黑体" w:cs="黑体"/>
          <w:color w:val="000000"/>
          <w:sz w:val="21"/>
          <w:szCs w:val="21"/>
        </w:rPr>
        <w:t xml:space="preserve">.3 </w:t>
      </w:r>
      <w:r>
        <w:rPr>
          <w:rFonts w:cs="宋体"/>
          <w:color w:val="000000"/>
          <w:sz w:val="21"/>
          <w:szCs w:val="21"/>
        </w:rPr>
        <w:t>监测工作中如出现身体不适的儿童青少年，应急小组人员应及时进行处置，学校通知家长，并做好追踪记录。</w:t>
      </w:r>
    </w:p>
    <w:p w14:paraId="7942E974">
      <w:pPr>
        <w:pStyle w:val="2"/>
        <w:numPr>
          <w:ilvl w:val="0"/>
          <w:numId w:val="0"/>
        </w:numPr>
        <w:snapToGrid w:val="0"/>
        <w:spacing w:before="120" w:after="120" w:line="288" w:lineRule="auto"/>
        <w:ind w:left="0" w:leftChars="0" w:firstLine="0" w:firstLineChars="0"/>
        <w:jc w:val="both"/>
        <w:rPr>
          <w:rFonts w:hint="default"/>
          <w:sz w:val="21"/>
          <w:szCs w:val="21"/>
        </w:rPr>
      </w:pPr>
      <w:r>
        <w:rPr>
          <w:rFonts w:hint="eastAsia" w:cs="黑体"/>
          <w:sz w:val="21"/>
          <w:szCs w:val="21"/>
          <w:lang w:val="en-US" w:eastAsia="zh-CN" w:bidi="ar-SA"/>
        </w:rPr>
        <w:t xml:space="preserve">9  </w:t>
      </w:r>
      <w:r>
        <w:rPr>
          <w:sz w:val="21"/>
          <w:szCs w:val="21"/>
        </w:rPr>
        <w:t>传染病及感染防控要求</w:t>
      </w:r>
    </w:p>
    <w:p w14:paraId="46715AAC">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9</w:t>
      </w:r>
      <w:r>
        <w:rPr>
          <w:rFonts w:ascii="黑体" w:eastAsia="黑体" w:cs="黑体"/>
          <w:color w:val="000000"/>
          <w:sz w:val="21"/>
          <w:szCs w:val="21"/>
        </w:rPr>
        <w:t xml:space="preserve">.1 </w:t>
      </w:r>
      <w:r>
        <w:rPr>
          <w:rFonts w:cs="宋体"/>
          <w:color w:val="000000"/>
          <w:sz w:val="21"/>
          <w:szCs w:val="21"/>
        </w:rPr>
        <w:t>常见病监测场所应按照WS/T367进行消毒处理，符合GB15982中Ⅲ类环境的消毒卫生标准。监测器具的消毒应符合GB15982中对医疗用品的卫生要求。</w:t>
      </w:r>
    </w:p>
    <w:p w14:paraId="745D4EC0">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9</w:t>
      </w:r>
      <w:r>
        <w:rPr>
          <w:rFonts w:ascii="黑体" w:eastAsia="黑体" w:cs="黑体"/>
          <w:color w:val="000000"/>
          <w:sz w:val="21"/>
          <w:szCs w:val="21"/>
        </w:rPr>
        <w:t xml:space="preserve">.2 </w:t>
      </w:r>
      <w:r>
        <w:rPr>
          <w:rFonts w:cs="宋体"/>
          <w:color w:val="000000"/>
          <w:sz w:val="21"/>
          <w:szCs w:val="21"/>
        </w:rPr>
        <w:t>在传染病流行常态化防控期间，学校师生及监测人员应严格按照当地防疫要求进行防护，呼吸道传染病流行期间，儿童青少年在室内候诊区（室）应相互保持1m距离。</w:t>
      </w:r>
    </w:p>
    <w:p w14:paraId="7E14949C">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9</w:t>
      </w:r>
      <w:r>
        <w:rPr>
          <w:rFonts w:ascii="黑体" w:eastAsia="黑体" w:cs="黑体"/>
          <w:color w:val="000000"/>
          <w:sz w:val="21"/>
          <w:szCs w:val="21"/>
        </w:rPr>
        <w:t xml:space="preserve">.3 </w:t>
      </w:r>
      <w:r>
        <w:rPr>
          <w:rFonts w:cs="宋体"/>
          <w:color w:val="000000"/>
          <w:sz w:val="21"/>
          <w:szCs w:val="21"/>
        </w:rPr>
        <w:t>监测人员和质控人员应开展健康监测，无异常方可上岗。</w:t>
      </w:r>
    </w:p>
    <w:p w14:paraId="2B0CA8D0">
      <w:pPr>
        <w:snapToGrid w:val="0"/>
        <w:spacing w:line="288" w:lineRule="auto"/>
        <w:jc w:val="both"/>
        <w:rPr>
          <w:rFonts w:hint="default" w:cs="宋体"/>
          <w:color w:val="000000"/>
          <w:sz w:val="21"/>
          <w:szCs w:val="21"/>
        </w:rPr>
      </w:pPr>
      <w:r>
        <w:rPr>
          <w:rFonts w:hint="eastAsia" w:ascii="黑体" w:eastAsia="黑体" w:cs="黑体"/>
          <w:color w:val="000000"/>
          <w:sz w:val="21"/>
          <w:szCs w:val="21"/>
          <w:lang w:val="en-US" w:eastAsia="zh-CN"/>
        </w:rPr>
        <w:t>9</w:t>
      </w:r>
      <w:r>
        <w:rPr>
          <w:rFonts w:ascii="黑体" w:eastAsia="黑体" w:cs="黑体"/>
          <w:color w:val="000000"/>
          <w:sz w:val="21"/>
          <w:szCs w:val="21"/>
        </w:rPr>
        <w:t xml:space="preserve">.4 </w:t>
      </w:r>
      <w:r>
        <w:rPr>
          <w:rFonts w:cs="宋体"/>
          <w:color w:val="000000"/>
          <w:sz w:val="21"/>
          <w:szCs w:val="21"/>
        </w:rPr>
        <w:t>学校应根据每日晨午检结果，安排无传染病症状的儿童青少年参加健康监测。监测过程中，如发现儿童青少年出现发热、咳嗽、呕吐、腹泻、皮疹等症状，应由带队老师带离监测区域并按照应急预案进行处置。</w:t>
      </w:r>
    </w:p>
    <w:p w14:paraId="3F378BE8">
      <w:pPr>
        <w:pStyle w:val="2"/>
        <w:numPr>
          <w:ilvl w:val="0"/>
          <w:numId w:val="0"/>
        </w:numPr>
        <w:snapToGrid w:val="0"/>
        <w:spacing w:before="120" w:after="120" w:line="288" w:lineRule="auto"/>
        <w:ind w:left="0" w:leftChars="0" w:firstLine="0" w:firstLineChars="0"/>
        <w:jc w:val="both"/>
        <w:rPr>
          <w:rFonts w:hint="default"/>
          <w:sz w:val="21"/>
          <w:szCs w:val="21"/>
        </w:rPr>
      </w:pPr>
      <w:r>
        <w:rPr>
          <w:rFonts w:hint="default" w:ascii="黑体" w:hAnsi="黑体" w:eastAsia="黑体" w:cs="黑体"/>
          <w:sz w:val="21"/>
          <w:szCs w:val="21"/>
          <w:lang w:val="en-US" w:eastAsia="zh-CN" w:bidi="ar-SA"/>
        </w:rPr>
        <w:t>1</w:t>
      </w:r>
      <w:r>
        <w:rPr>
          <w:rFonts w:hint="eastAsia" w:cs="黑体"/>
          <w:sz w:val="21"/>
          <w:szCs w:val="21"/>
          <w:lang w:val="en-US" w:eastAsia="zh-CN" w:bidi="ar-SA"/>
        </w:rPr>
        <w:t xml:space="preserve">0  </w:t>
      </w:r>
      <w:r>
        <w:rPr>
          <w:sz w:val="21"/>
          <w:szCs w:val="21"/>
        </w:rPr>
        <w:t>隐私保护要求</w:t>
      </w:r>
    </w:p>
    <w:p w14:paraId="32A6713B">
      <w:pPr>
        <w:snapToGrid w:val="0"/>
        <w:spacing w:line="288" w:lineRule="auto"/>
        <w:jc w:val="both"/>
        <w:rPr>
          <w:rFonts w:hint="default" w:cs="宋体"/>
          <w:color w:val="000000"/>
          <w:sz w:val="21"/>
          <w:szCs w:val="21"/>
        </w:rPr>
      </w:pPr>
      <w:r>
        <w:rPr>
          <w:rFonts w:ascii="黑体" w:eastAsia="黑体" w:cs="黑体"/>
          <w:color w:val="000000"/>
          <w:sz w:val="21"/>
          <w:szCs w:val="21"/>
        </w:rPr>
        <w:t>1</w:t>
      </w:r>
      <w:r>
        <w:rPr>
          <w:rFonts w:hint="eastAsia" w:ascii="黑体" w:eastAsia="黑体" w:cs="黑体"/>
          <w:color w:val="000000"/>
          <w:sz w:val="21"/>
          <w:szCs w:val="21"/>
          <w:lang w:val="en-US" w:eastAsia="zh-CN"/>
        </w:rPr>
        <w:t>0</w:t>
      </w:r>
      <w:r>
        <w:rPr>
          <w:rFonts w:ascii="黑体" w:eastAsia="黑体" w:cs="黑体"/>
          <w:color w:val="000000"/>
          <w:sz w:val="21"/>
          <w:szCs w:val="21"/>
        </w:rPr>
        <w:t xml:space="preserve">.1 </w:t>
      </w:r>
      <w:r>
        <w:rPr>
          <w:rFonts w:cs="宋体"/>
          <w:color w:val="000000"/>
          <w:sz w:val="21"/>
          <w:szCs w:val="21"/>
        </w:rPr>
        <w:t>凡涉及儿童青少年隐私的问题及操作，均应提前告知并获得家长及受测儿童青少年的知情同意。</w:t>
      </w:r>
    </w:p>
    <w:p w14:paraId="25C67DE1">
      <w:pPr>
        <w:snapToGrid w:val="0"/>
        <w:spacing w:line="288" w:lineRule="auto"/>
        <w:jc w:val="both"/>
        <w:rPr>
          <w:rFonts w:hint="default" w:cs="宋体"/>
          <w:color w:val="000000"/>
          <w:sz w:val="21"/>
          <w:szCs w:val="21"/>
        </w:rPr>
      </w:pPr>
      <w:r>
        <w:rPr>
          <w:rFonts w:ascii="黑体" w:eastAsia="黑体" w:cs="黑体"/>
          <w:color w:val="000000"/>
          <w:sz w:val="21"/>
          <w:szCs w:val="21"/>
        </w:rPr>
        <w:t>1</w:t>
      </w:r>
      <w:r>
        <w:rPr>
          <w:rFonts w:hint="eastAsia" w:ascii="黑体" w:eastAsia="黑体" w:cs="黑体"/>
          <w:color w:val="000000"/>
          <w:sz w:val="21"/>
          <w:szCs w:val="21"/>
          <w:lang w:val="en-US" w:eastAsia="zh-CN"/>
        </w:rPr>
        <w:t>0</w:t>
      </w:r>
      <w:r>
        <w:rPr>
          <w:rFonts w:ascii="黑体" w:eastAsia="黑体" w:cs="黑体"/>
          <w:color w:val="000000"/>
          <w:sz w:val="21"/>
          <w:szCs w:val="21"/>
        </w:rPr>
        <w:t xml:space="preserve">.2 </w:t>
      </w:r>
      <w:r>
        <w:rPr>
          <w:rFonts w:cs="宋体"/>
          <w:color w:val="000000"/>
          <w:sz w:val="21"/>
          <w:szCs w:val="21"/>
        </w:rPr>
        <w:t>需男女生分开检查的项目场地应符合7.2.1d</w:t>
      </w:r>
      <w:r>
        <w:rPr>
          <w:rFonts w:hint="eastAsia" w:cs="宋体"/>
          <w:color w:val="000000"/>
          <w:sz w:val="21"/>
          <w:szCs w:val="21"/>
          <w:lang w:eastAsia="zh-CN"/>
        </w:rPr>
        <w:t>）</w:t>
      </w:r>
      <w:r>
        <w:rPr>
          <w:rFonts w:cs="宋体"/>
          <w:color w:val="000000"/>
          <w:sz w:val="21"/>
          <w:szCs w:val="21"/>
        </w:rPr>
        <w:t>要求。</w:t>
      </w:r>
    </w:p>
    <w:p w14:paraId="79DEA30D">
      <w:pPr>
        <w:snapToGrid w:val="0"/>
        <w:spacing w:line="288" w:lineRule="auto"/>
        <w:jc w:val="both"/>
        <w:rPr>
          <w:rFonts w:hint="default" w:cs="宋体"/>
          <w:color w:val="000000"/>
          <w:sz w:val="21"/>
          <w:szCs w:val="21"/>
        </w:rPr>
      </w:pPr>
      <w:r>
        <w:rPr>
          <w:rFonts w:ascii="黑体" w:eastAsia="黑体" w:cs="黑体"/>
          <w:color w:val="000000"/>
          <w:sz w:val="21"/>
          <w:szCs w:val="21"/>
        </w:rPr>
        <w:t>1</w:t>
      </w:r>
      <w:r>
        <w:rPr>
          <w:rFonts w:hint="eastAsia" w:ascii="黑体" w:eastAsia="黑体" w:cs="黑体"/>
          <w:color w:val="000000"/>
          <w:sz w:val="21"/>
          <w:szCs w:val="21"/>
          <w:lang w:val="en-US" w:eastAsia="zh-CN"/>
        </w:rPr>
        <w:t>0</w:t>
      </w:r>
      <w:r>
        <w:rPr>
          <w:rFonts w:ascii="黑体" w:eastAsia="黑体" w:cs="黑体"/>
          <w:color w:val="000000"/>
          <w:sz w:val="21"/>
          <w:szCs w:val="21"/>
        </w:rPr>
        <w:t xml:space="preserve">.3 </w:t>
      </w:r>
      <w:r>
        <w:rPr>
          <w:rFonts w:cs="宋体"/>
          <w:color w:val="000000"/>
          <w:sz w:val="21"/>
          <w:szCs w:val="21"/>
        </w:rPr>
        <w:t>监测人员应注意保护儿童青少年监测结果和隐私信息，不应公开讨论。</w:t>
      </w:r>
    </w:p>
    <w:p w14:paraId="25AA8607">
      <w:pPr>
        <w:snapToGrid w:val="0"/>
        <w:spacing w:line="288" w:lineRule="auto"/>
        <w:jc w:val="both"/>
        <w:rPr>
          <w:rFonts w:cs="宋体"/>
          <w:color w:val="000000"/>
          <w:sz w:val="21"/>
          <w:szCs w:val="21"/>
        </w:rPr>
      </w:pPr>
      <w:r>
        <w:rPr>
          <w:rFonts w:ascii="黑体" w:eastAsia="黑体" w:cs="黑体"/>
          <w:color w:val="000000"/>
          <w:sz w:val="21"/>
          <w:szCs w:val="21"/>
        </w:rPr>
        <w:t>1</w:t>
      </w:r>
      <w:r>
        <w:rPr>
          <w:rFonts w:hint="eastAsia" w:ascii="黑体" w:eastAsia="黑体" w:cs="黑体"/>
          <w:color w:val="000000"/>
          <w:sz w:val="21"/>
          <w:szCs w:val="21"/>
          <w:lang w:val="en-US" w:eastAsia="zh-CN"/>
        </w:rPr>
        <w:t>0</w:t>
      </w:r>
      <w:r>
        <w:rPr>
          <w:rFonts w:ascii="黑体" w:eastAsia="黑体" w:cs="黑体"/>
          <w:color w:val="000000"/>
          <w:sz w:val="21"/>
          <w:szCs w:val="21"/>
        </w:rPr>
        <w:t xml:space="preserve">.4 </w:t>
      </w:r>
      <w:r>
        <w:rPr>
          <w:rFonts w:cs="宋体"/>
          <w:color w:val="000000"/>
          <w:sz w:val="21"/>
          <w:szCs w:val="21"/>
        </w:rPr>
        <w:t>儿童青少年健康监测信息管理系统应加密，离机锁屏或退出。监测数据库应备份加密后交由专人保管。</w:t>
      </w:r>
    </w:p>
    <w:p w14:paraId="7996E178">
      <w:pPr>
        <w:widowControl/>
        <w:autoSpaceDE/>
        <w:autoSpaceDN/>
        <w:adjustRightInd/>
        <w:rPr>
          <w:rFonts w:hint="default" w:cs="宋体"/>
          <w:color w:val="000000"/>
          <w:szCs w:val="22"/>
        </w:rPr>
      </w:pPr>
      <w:r>
        <w:rPr>
          <w:rFonts w:hint="default" w:cs="宋体"/>
          <w:color w:val="000000"/>
          <w:sz w:val="21"/>
          <w:szCs w:val="21"/>
        </w:rPr>
        <w:br w:type="page"/>
      </w:r>
    </w:p>
    <w:p w14:paraId="1D2F0E7A">
      <w:pPr>
        <w:snapToGrid w:val="0"/>
        <w:spacing w:line="288" w:lineRule="auto"/>
        <w:jc w:val="both"/>
        <w:rPr>
          <w:rFonts w:hint="default" w:cs="宋体"/>
          <w:color w:val="000000"/>
          <w:szCs w:val="22"/>
        </w:rPr>
      </w:pPr>
    </w:p>
    <w:p w14:paraId="0C0D7DE7">
      <w:pPr>
        <w:pStyle w:val="12"/>
        <w:tabs>
          <w:tab w:val="left" w:pos="410"/>
          <w:tab w:val="left" w:pos="921"/>
        </w:tabs>
        <w:kinsoku w:val="0"/>
        <w:overflowPunct w:val="0"/>
        <w:spacing w:before="70"/>
        <w:ind w:right="293"/>
        <w:jc w:val="center"/>
        <w:rPr>
          <w:rFonts w:hint="default" w:ascii="黑体" w:hAnsi="黑体" w:eastAsia="黑体"/>
        </w:rPr>
      </w:pPr>
      <w:r>
        <w:rPr>
          <w:rFonts w:ascii="黑体" w:hAnsi="黑体" w:eastAsia="黑体"/>
        </w:rPr>
        <w:t>附</w:t>
      </w:r>
      <w:r>
        <w:rPr>
          <w:rFonts w:ascii="黑体" w:hAnsi="黑体" w:eastAsia="黑体"/>
        </w:rPr>
        <w:tab/>
      </w:r>
      <w:r>
        <w:rPr>
          <w:rFonts w:ascii="黑体" w:hAnsi="黑体" w:eastAsia="黑体"/>
        </w:rPr>
        <w:t>录</w:t>
      </w:r>
      <w:r>
        <w:rPr>
          <w:rFonts w:ascii="黑体" w:hAnsi="黑体" w:eastAsia="黑体"/>
        </w:rPr>
        <w:tab/>
      </w:r>
      <w:r>
        <w:rPr>
          <w:rFonts w:ascii="黑体" w:hAnsi="黑体" w:eastAsia="黑体"/>
        </w:rPr>
        <w:t>A</w:t>
      </w:r>
    </w:p>
    <w:p w14:paraId="68F1CEC4">
      <w:pPr>
        <w:pStyle w:val="12"/>
        <w:kinsoku w:val="0"/>
        <w:overflowPunct w:val="0"/>
        <w:spacing w:before="42"/>
        <w:ind w:left="99" w:right="293"/>
        <w:jc w:val="center"/>
        <w:rPr>
          <w:rFonts w:hint="default" w:ascii="黑体" w:hAnsi="黑体" w:eastAsia="黑体"/>
        </w:rPr>
      </w:pPr>
      <w:r>
        <w:rPr>
          <w:rFonts w:ascii="黑体" w:hAnsi="黑体" w:eastAsia="黑体"/>
        </w:rPr>
        <w:t>（资料性）</w:t>
      </w:r>
    </w:p>
    <w:p w14:paraId="356DDAA7">
      <w:pPr>
        <w:pStyle w:val="12"/>
        <w:kinsoku w:val="0"/>
        <w:overflowPunct w:val="0"/>
        <w:spacing w:before="43"/>
        <w:ind w:left="97" w:right="293"/>
        <w:jc w:val="center"/>
        <w:rPr>
          <w:rFonts w:hint="default" w:ascii="黑体" w:hAnsi="黑体" w:eastAsia="黑体"/>
          <w:w w:val="95"/>
        </w:rPr>
      </w:pPr>
      <w:r>
        <w:rPr>
          <w:rFonts w:ascii="黑体" w:hAnsi="黑体" w:eastAsia="黑体"/>
          <w:w w:val="95"/>
        </w:rPr>
        <w:t>中小学生健康监测期间仪器内部校准要求</w:t>
      </w:r>
    </w:p>
    <w:p w14:paraId="57C94879">
      <w:pPr>
        <w:pStyle w:val="12"/>
        <w:kinsoku w:val="0"/>
        <w:overflowPunct w:val="0"/>
        <w:spacing w:before="7"/>
        <w:rPr>
          <w:rFonts w:hint="default" w:ascii="黑体" w:hAnsi="黑体" w:eastAsia="黑体"/>
          <w:sz w:val="15"/>
        </w:rPr>
      </w:pPr>
    </w:p>
    <w:p w14:paraId="1F08424F">
      <w:pPr>
        <w:pStyle w:val="12"/>
        <w:kinsoku w:val="0"/>
        <w:overflowPunct w:val="0"/>
        <w:ind w:left="218"/>
        <w:rPr>
          <w:rFonts w:hint="default"/>
        </w:rPr>
      </w:pPr>
      <w:r>
        <w:t>中小学生常见病监测及教室环境卫生监测仪器内部校准要求见表 A.1。</w:t>
      </w:r>
    </w:p>
    <w:p w14:paraId="724437D1">
      <w:pPr>
        <w:pStyle w:val="12"/>
        <w:kinsoku w:val="0"/>
        <w:overflowPunct w:val="0"/>
        <w:spacing w:before="3"/>
        <w:rPr>
          <w:rFonts w:hint="default"/>
          <w:sz w:val="26"/>
        </w:rPr>
      </w:pPr>
    </w:p>
    <w:p w14:paraId="2AA225B4">
      <w:pPr>
        <w:pStyle w:val="12"/>
        <w:tabs>
          <w:tab w:val="left" w:pos="787"/>
        </w:tabs>
        <w:kinsoku w:val="0"/>
        <w:overflowPunct w:val="0"/>
        <w:spacing w:after="2"/>
        <w:ind w:right="196"/>
        <w:jc w:val="center"/>
        <w:rPr>
          <w:rFonts w:hint="default" w:ascii="黑体" w:hAnsi="黑体" w:eastAsia="黑体"/>
        </w:rPr>
      </w:pPr>
      <w:r>
        <w:rPr>
          <w:rFonts w:ascii="黑体" w:hAnsi="黑体" w:eastAsia="黑体"/>
        </w:rPr>
        <w:t>表</w:t>
      </w:r>
      <w:r>
        <w:rPr>
          <w:rFonts w:ascii="黑体" w:hAnsi="黑体" w:eastAsia="黑体"/>
          <w:spacing w:val="-54"/>
        </w:rPr>
        <w:t xml:space="preserve"> </w:t>
      </w:r>
      <w:r>
        <w:rPr>
          <w:rFonts w:ascii="黑体" w:hAnsi="黑体" w:eastAsia="黑体"/>
        </w:rPr>
        <w:t>A.1</w:t>
      </w:r>
      <w:r>
        <w:rPr>
          <w:rFonts w:ascii="黑体" w:hAnsi="黑体" w:eastAsia="黑体"/>
        </w:rPr>
        <w:tab/>
      </w:r>
      <w:r>
        <w:rPr>
          <w:rFonts w:ascii="黑体" w:hAnsi="黑体" w:eastAsia="黑体"/>
        </w:rPr>
        <w:t>监测仪器内部校准要求</w:t>
      </w:r>
    </w:p>
    <w:tbl>
      <w:tblPr>
        <w:tblStyle w:val="16"/>
        <w:tblpPr w:leftFromText="180" w:rightFromText="180" w:vertAnchor="text" w:horzAnchor="page" w:tblpX="1638" w:tblpY="410"/>
        <w:tblOverlap w:val="never"/>
        <w:tblW w:w="5000" w:type="pct"/>
        <w:tblInd w:w="0" w:type="dxa"/>
        <w:tblLayout w:type="autofit"/>
        <w:tblCellMar>
          <w:top w:w="0" w:type="dxa"/>
          <w:left w:w="108" w:type="dxa"/>
          <w:bottom w:w="0" w:type="dxa"/>
          <w:right w:w="108" w:type="dxa"/>
        </w:tblCellMar>
      </w:tblPr>
      <w:tblGrid>
        <w:gridCol w:w="698"/>
        <w:gridCol w:w="1090"/>
        <w:gridCol w:w="1212"/>
        <w:gridCol w:w="1502"/>
        <w:gridCol w:w="708"/>
        <w:gridCol w:w="3317"/>
      </w:tblGrid>
      <w:tr w14:paraId="10C235B3">
        <w:tblPrEx>
          <w:tblCellMar>
            <w:top w:w="0" w:type="dxa"/>
            <w:left w:w="108" w:type="dxa"/>
            <w:bottom w:w="0" w:type="dxa"/>
            <w:right w:w="108" w:type="dxa"/>
          </w:tblCellMar>
        </w:tblPrEx>
        <w:trPr>
          <w:trHeight w:val="841" w:hRule="atLeast"/>
        </w:trPr>
        <w:tc>
          <w:tcPr>
            <w:tcW w:w="409" w:type="pct"/>
            <w:tcBorders>
              <w:top w:val="single" w:color="000000" w:sz="4" w:space="0"/>
              <w:left w:val="single" w:color="000000" w:sz="4" w:space="0"/>
              <w:bottom w:val="single" w:color="000000" w:sz="4" w:space="0"/>
              <w:right w:val="single" w:color="000000" w:sz="4" w:space="0"/>
              <w:tl2br w:val="nil"/>
              <w:tr2bl w:val="nil"/>
            </w:tcBorders>
            <w:vAlign w:val="center"/>
          </w:tcPr>
          <w:p w14:paraId="16872D20">
            <w:pPr>
              <w:pStyle w:val="20"/>
              <w:kinsoku w:val="0"/>
              <w:overflowPunct w:val="0"/>
              <w:spacing w:before="150"/>
              <w:jc w:val="center"/>
              <w:rPr>
                <w:rFonts w:asciiTheme="minorEastAsia" w:hAnsiTheme="minorEastAsia" w:eastAsiaTheme="minorEastAsia"/>
                <w:sz w:val="21"/>
                <w:szCs w:val="21"/>
              </w:rPr>
            </w:pPr>
            <w:r>
              <w:rPr>
                <w:rFonts w:asciiTheme="minorEastAsia" w:hAnsiTheme="minorEastAsia" w:eastAsiaTheme="minorEastAsia"/>
                <w:sz w:val="21"/>
                <w:szCs w:val="21"/>
              </w:rPr>
              <w:t>监测</w:t>
            </w:r>
          </w:p>
          <w:p w14:paraId="6ADE9A86">
            <w:pPr>
              <w:pStyle w:val="20"/>
              <w:kinsoku w:val="0"/>
              <w:overflowPunct w:val="0"/>
              <w:spacing w:before="15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内容</w:t>
            </w: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09F22A51">
            <w:pPr>
              <w:pStyle w:val="20"/>
              <w:kinsoku w:val="0"/>
              <w:overflowPunct w:val="0"/>
              <w:spacing w:before="15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监测仪器</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35A07C8B">
            <w:pPr>
              <w:pStyle w:val="20"/>
              <w:kinsoku w:val="0"/>
              <w:overflowPunct w:val="0"/>
              <w:spacing w:before="15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仪器要求</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39DADF79">
            <w:pPr>
              <w:pStyle w:val="20"/>
              <w:kinsoku w:val="0"/>
              <w:overflowPunct w:val="0"/>
              <w:spacing w:before="15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质控仪器</w:t>
            </w:r>
          </w:p>
        </w:tc>
        <w:tc>
          <w:tcPr>
            <w:tcW w:w="415" w:type="pct"/>
            <w:tcBorders>
              <w:top w:val="single" w:color="000000" w:sz="4" w:space="0"/>
              <w:left w:val="single" w:color="000000" w:sz="4" w:space="0"/>
              <w:bottom w:val="single" w:color="000000" w:sz="4" w:space="0"/>
              <w:right w:val="single" w:color="000000" w:sz="4" w:space="0"/>
              <w:tl2br w:val="nil"/>
              <w:tr2bl w:val="nil"/>
            </w:tcBorders>
            <w:vAlign w:val="center"/>
          </w:tcPr>
          <w:p w14:paraId="6E1922CA">
            <w:pPr>
              <w:pStyle w:val="20"/>
              <w:kinsoku w:val="0"/>
              <w:overflowPunct w:val="0"/>
              <w:spacing w:before="15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频次</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479C12A3">
            <w:pPr>
              <w:pStyle w:val="20"/>
              <w:kinsoku w:val="0"/>
              <w:overflowPunct w:val="0"/>
              <w:spacing w:before="15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内部校准要求</w:t>
            </w:r>
          </w:p>
        </w:tc>
      </w:tr>
      <w:tr w14:paraId="1327F3FE">
        <w:tblPrEx>
          <w:tblCellMar>
            <w:top w:w="0" w:type="dxa"/>
            <w:left w:w="108" w:type="dxa"/>
            <w:bottom w:w="0" w:type="dxa"/>
            <w:right w:w="108" w:type="dxa"/>
          </w:tblCellMar>
        </w:tblPrEx>
        <w:trPr>
          <w:trHeight w:val="951" w:hRule="atLeast"/>
        </w:trPr>
        <w:tc>
          <w:tcPr>
            <w:tcW w:w="40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94BB837">
            <w:pPr>
              <w:pStyle w:val="20"/>
              <w:kinsoku w:val="0"/>
              <w:overflowPunct w:val="0"/>
              <w:jc w:val="both"/>
              <w:rPr>
                <w:rFonts w:hint="default"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中小学生</w:t>
            </w:r>
            <w:r>
              <w:rPr>
                <w:rFonts w:asciiTheme="minorEastAsia" w:hAnsiTheme="minorEastAsia" w:eastAsiaTheme="minorEastAsia"/>
                <w:sz w:val="21"/>
                <w:szCs w:val="21"/>
              </w:rPr>
              <w:t>常见病监测</w:t>
            </w:r>
          </w:p>
        </w:tc>
        <w:tc>
          <w:tcPr>
            <w:tcW w:w="63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1C400F16">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机械式身高计</w:t>
            </w:r>
          </w:p>
        </w:tc>
        <w:tc>
          <w:tcPr>
            <w:tcW w:w="71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84BCBE1">
            <w:pPr>
              <w:pStyle w:val="20"/>
              <w:kinsoku w:val="0"/>
              <w:overflowPunct w:val="0"/>
              <w:spacing w:line="278" w:lineRule="auto"/>
              <w:jc w:val="both"/>
              <w:rPr>
                <w:rFonts w:hint="default" w:asciiTheme="minorEastAsia" w:hAnsiTheme="minorEastAsia" w:eastAsiaTheme="minorEastAsia"/>
                <w:spacing w:val="-18"/>
                <w:sz w:val="21"/>
                <w:szCs w:val="21"/>
              </w:rPr>
            </w:pPr>
            <w:r>
              <w:rPr>
                <w:rFonts w:asciiTheme="minorEastAsia" w:hAnsiTheme="minorEastAsia" w:eastAsiaTheme="minorEastAsia"/>
                <w:spacing w:val="-18"/>
                <w:sz w:val="21"/>
                <w:szCs w:val="21"/>
              </w:rPr>
              <w:t>符合 GB/T 26343 要求</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22B9E8E1">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钢直尺/钢卷尺</w:t>
            </w:r>
          </w:p>
        </w:tc>
        <w:tc>
          <w:tcPr>
            <w:tcW w:w="415"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0923FDD">
            <w:pPr>
              <w:pStyle w:val="20"/>
              <w:kinsoku w:val="0"/>
              <w:overflowPunct w:val="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每日</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1E74C621">
            <w:pPr>
              <w:pStyle w:val="20"/>
              <w:kinsoku w:val="0"/>
              <w:overflowPunct w:val="0"/>
              <w:spacing w:before="2" w:line="310" w:lineRule="atLeast"/>
              <w:jc w:val="both"/>
              <w:rPr>
                <w:rFonts w:hint="default" w:asciiTheme="minorEastAsia" w:hAnsiTheme="minorEastAsia" w:eastAsiaTheme="minorEastAsia"/>
                <w:sz w:val="21"/>
                <w:szCs w:val="21"/>
              </w:rPr>
            </w:pPr>
            <w:r>
              <w:rPr>
                <w:rFonts w:asciiTheme="minorEastAsia" w:hAnsiTheme="minorEastAsia" w:eastAsiaTheme="minorEastAsia"/>
                <w:sz w:val="21"/>
                <w:szCs w:val="21"/>
              </w:rPr>
              <w:t>每 5cm 或 10cm 或 20cm，应无可见误差，每米误差不应超过±0.1%</w:t>
            </w:r>
          </w:p>
        </w:tc>
      </w:tr>
      <w:tr w14:paraId="2E780426">
        <w:tblPrEx>
          <w:tblCellMar>
            <w:top w:w="0" w:type="dxa"/>
            <w:left w:w="108" w:type="dxa"/>
            <w:bottom w:w="0" w:type="dxa"/>
            <w:right w:w="108" w:type="dxa"/>
          </w:tblCellMar>
        </w:tblPrEx>
        <w:trPr>
          <w:trHeight w:val="875"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1FD5985E">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vMerge w:val="continue"/>
            <w:tcBorders>
              <w:top w:val="nil"/>
              <w:left w:val="single" w:color="000000" w:sz="4" w:space="0"/>
              <w:bottom w:val="single" w:color="000000" w:sz="4" w:space="0"/>
              <w:right w:val="single" w:color="000000" w:sz="4" w:space="0"/>
              <w:tl2br w:val="nil"/>
              <w:tr2bl w:val="nil"/>
            </w:tcBorders>
            <w:vAlign w:val="center"/>
          </w:tcPr>
          <w:p w14:paraId="4F98B67C">
            <w:pPr>
              <w:pStyle w:val="12"/>
              <w:tabs>
                <w:tab w:val="left" w:pos="787"/>
              </w:tabs>
              <w:kinsoku w:val="0"/>
              <w:overflowPunct w:val="0"/>
              <w:spacing w:after="2"/>
              <w:jc w:val="both"/>
              <w:rPr>
                <w:rFonts w:hint="default" w:asciiTheme="minorEastAsia" w:hAnsiTheme="minorEastAsia" w:eastAsiaTheme="minorEastAsia"/>
                <w:szCs w:val="21"/>
              </w:rPr>
            </w:pPr>
          </w:p>
        </w:tc>
        <w:tc>
          <w:tcPr>
            <w:tcW w:w="710" w:type="pct"/>
            <w:vMerge w:val="continue"/>
            <w:tcBorders>
              <w:top w:val="nil"/>
              <w:left w:val="single" w:color="000000" w:sz="4" w:space="0"/>
              <w:bottom w:val="single" w:color="000000" w:sz="4" w:space="0"/>
              <w:right w:val="single" w:color="000000" w:sz="4" w:space="0"/>
              <w:tl2br w:val="nil"/>
              <w:tr2bl w:val="nil"/>
            </w:tcBorders>
            <w:vAlign w:val="center"/>
          </w:tcPr>
          <w:p w14:paraId="42CDCF69">
            <w:pPr>
              <w:pStyle w:val="12"/>
              <w:tabs>
                <w:tab w:val="left" w:pos="787"/>
              </w:tabs>
              <w:kinsoku w:val="0"/>
              <w:overflowPunct w:val="0"/>
              <w:spacing w:after="2"/>
              <w:jc w:val="both"/>
              <w:rPr>
                <w:rFonts w:hint="default" w:asciiTheme="minorEastAsia" w:hAnsiTheme="minorEastAsia" w:eastAsiaTheme="minorEastAsia"/>
                <w:szCs w:val="21"/>
              </w:rPr>
            </w:pP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2EBE813B">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钢直角尺</w:t>
            </w:r>
          </w:p>
        </w:tc>
        <w:tc>
          <w:tcPr>
            <w:tcW w:w="415" w:type="pct"/>
            <w:vMerge w:val="continue"/>
            <w:tcBorders>
              <w:top w:val="nil"/>
              <w:left w:val="single" w:color="000000" w:sz="4" w:space="0"/>
              <w:bottom w:val="single" w:color="000000" w:sz="4" w:space="0"/>
              <w:right w:val="single" w:color="000000" w:sz="4" w:space="0"/>
              <w:tl2br w:val="nil"/>
              <w:tr2bl w:val="nil"/>
            </w:tcBorders>
            <w:vAlign w:val="center"/>
          </w:tcPr>
          <w:p w14:paraId="6E8EDC76">
            <w:pPr>
              <w:pStyle w:val="12"/>
              <w:tabs>
                <w:tab w:val="left" w:pos="787"/>
              </w:tabs>
              <w:kinsoku w:val="0"/>
              <w:overflowPunct w:val="0"/>
              <w:spacing w:after="2"/>
              <w:jc w:val="center"/>
              <w:rPr>
                <w:rFonts w:hint="default" w:asciiTheme="minorEastAsia" w:hAnsiTheme="minorEastAsia" w:eastAsiaTheme="minorEastAsia"/>
                <w:szCs w:val="21"/>
              </w:rPr>
            </w:pP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655E68A8">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立柱与底板之间角度为直角；</w:t>
            </w:r>
          </w:p>
          <w:p w14:paraId="5DB7224E">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滑板与立柱之间角度为直角</w:t>
            </w:r>
          </w:p>
        </w:tc>
      </w:tr>
      <w:tr w14:paraId="3B431928">
        <w:tblPrEx>
          <w:tblCellMar>
            <w:top w:w="0" w:type="dxa"/>
            <w:left w:w="108" w:type="dxa"/>
            <w:bottom w:w="0" w:type="dxa"/>
            <w:right w:w="108" w:type="dxa"/>
          </w:tblCellMar>
        </w:tblPrEx>
        <w:trPr>
          <w:trHeight w:val="830"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2A623967">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39D7DFAF">
            <w:pPr>
              <w:pStyle w:val="20"/>
              <w:kinsoku w:val="0"/>
              <w:overflowPunct w:val="0"/>
              <w:spacing w:before="35"/>
              <w:jc w:val="both"/>
              <w:rPr>
                <w:rFonts w:hint="default" w:asciiTheme="minorEastAsia" w:hAnsiTheme="minorEastAsia" w:eastAsiaTheme="minorEastAsia"/>
                <w:sz w:val="21"/>
                <w:szCs w:val="21"/>
              </w:rPr>
            </w:pPr>
            <w:r>
              <w:rPr>
                <w:rFonts w:asciiTheme="minorEastAsia" w:hAnsiTheme="minorEastAsia" w:eastAsiaTheme="minorEastAsia"/>
                <w:sz w:val="21"/>
                <w:szCs w:val="21"/>
              </w:rPr>
              <w:t>杠杆秤</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63938BEF">
            <w:pPr>
              <w:pStyle w:val="20"/>
              <w:kinsoku w:val="0"/>
              <w:overflowPunct w:val="0"/>
              <w:spacing w:before="35"/>
              <w:jc w:val="both"/>
              <w:rPr>
                <w:rFonts w:hint="default" w:asciiTheme="minorEastAsia" w:hAnsiTheme="minorEastAsia" w:eastAsiaTheme="minorEastAsia"/>
                <w:sz w:val="21"/>
                <w:szCs w:val="21"/>
              </w:rPr>
            </w:pPr>
            <w:r>
              <w:rPr>
                <w:rFonts w:asciiTheme="minorEastAsia" w:hAnsiTheme="minorEastAsia" w:eastAsiaTheme="minorEastAsia"/>
                <w:sz w:val="21"/>
                <w:szCs w:val="21"/>
              </w:rPr>
              <w:t>不使用弹簧秤</w:t>
            </w:r>
          </w:p>
        </w:tc>
        <w:tc>
          <w:tcPr>
            <w:tcW w:w="8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F6C2B4C">
            <w:pPr>
              <w:pStyle w:val="20"/>
              <w:kinsoku w:val="0"/>
              <w:overflowPunct w:val="0"/>
              <w:spacing w:before="35"/>
              <w:jc w:val="both"/>
              <w:rPr>
                <w:rFonts w:hint="default" w:asciiTheme="minorEastAsia" w:hAnsiTheme="minorEastAsia" w:eastAsiaTheme="minorEastAsia"/>
                <w:sz w:val="21"/>
                <w:szCs w:val="21"/>
              </w:rPr>
            </w:pPr>
            <w:r>
              <w:rPr>
                <w:rFonts w:asciiTheme="minorEastAsia" w:hAnsiTheme="minorEastAsia" w:eastAsiaTheme="minorEastAsia"/>
                <w:sz w:val="21"/>
                <w:szCs w:val="21"/>
              </w:rPr>
              <w:t>100kg砝码</w:t>
            </w:r>
          </w:p>
          <w:p w14:paraId="75B35FE1">
            <w:pPr>
              <w:pStyle w:val="20"/>
              <w:kinsoku w:val="0"/>
              <w:overflowPunct w:val="0"/>
              <w:spacing w:before="35"/>
              <w:jc w:val="both"/>
              <w:rPr>
                <w:rFonts w:hint="default" w:asciiTheme="minorEastAsia" w:hAnsiTheme="minorEastAsia" w:eastAsiaTheme="minorEastAsia"/>
                <w:sz w:val="21"/>
                <w:szCs w:val="21"/>
              </w:rPr>
            </w:pPr>
            <w:r>
              <w:rPr>
                <w:rFonts w:asciiTheme="minorEastAsia" w:hAnsiTheme="minorEastAsia" w:eastAsiaTheme="minorEastAsia"/>
                <w:sz w:val="21"/>
                <w:szCs w:val="21"/>
              </w:rPr>
              <w:t>0.1kg砝码</w:t>
            </w:r>
          </w:p>
          <w:p w14:paraId="1F6FD73E">
            <w:pPr>
              <w:pStyle w:val="20"/>
              <w:kinsoku w:val="0"/>
              <w:overflowPunct w:val="0"/>
              <w:spacing w:before="35"/>
              <w:jc w:val="both"/>
              <w:rPr>
                <w:rFonts w:hint="default" w:asciiTheme="minorEastAsia" w:hAnsiTheme="minorEastAsia" w:eastAsiaTheme="minorEastAsia"/>
                <w:w w:val="95"/>
                <w:sz w:val="21"/>
                <w:szCs w:val="21"/>
              </w:rPr>
            </w:pPr>
            <w:r>
              <w:rPr>
                <w:rFonts w:asciiTheme="minorEastAsia" w:hAnsiTheme="minorEastAsia" w:eastAsiaTheme="minorEastAsia"/>
                <w:sz w:val="21"/>
                <w:szCs w:val="21"/>
              </w:rPr>
              <w:t>（标准物）</w:t>
            </w:r>
          </w:p>
        </w:tc>
        <w:tc>
          <w:tcPr>
            <w:tcW w:w="415"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D71022B">
            <w:pPr>
              <w:pStyle w:val="20"/>
              <w:kinsoku w:val="0"/>
              <w:overflowPunct w:val="0"/>
              <w:spacing w:before="146"/>
              <w:jc w:val="center"/>
              <w:rPr>
                <w:rFonts w:hint="default" w:asciiTheme="minorEastAsia" w:hAnsiTheme="minorEastAsia" w:eastAsiaTheme="minorEastAsia"/>
                <w:sz w:val="21"/>
                <w:szCs w:val="21"/>
              </w:rPr>
            </w:pPr>
            <w:r>
              <w:rPr>
                <w:rFonts w:asciiTheme="minorEastAsia" w:hAnsiTheme="minorEastAsia" w:eastAsiaTheme="minorEastAsia"/>
                <w:sz w:val="21"/>
                <w:szCs w:val="21"/>
              </w:rPr>
              <w:t>每日</w:t>
            </w:r>
          </w:p>
        </w:tc>
        <w:tc>
          <w:tcPr>
            <w:tcW w:w="194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E205D59">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使用前应检验其准确度 和灵敏度，准确度要求误差不超过 0.1%（即每100kg 不超过 0.1kg），灵敏度应能测出 0.1kg</w:t>
            </w:r>
          </w:p>
        </w:tc>
      </w:tr>
      <w:tr w14:paraId="3B2F9CAA">
        <w:tblPrEx>
          <w:tblCellMar>
            <w:top w:w="0" w:type="dxa"/>
            <w:left w:w="108" w:type="dxa"/>
            <w:bottom w:w="0" w:type="dxa"/>
            <w:right w:w="108" w:type="dxa"/>
          </w:tblCellMar>
        </w:tblPrEx>
        <w:trPr>
          <w:trHeight w:val="910"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1305B510">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125D21C1">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电子体重计</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40CB3B76">
            <w:pPr>
              <w:pStyle w:val="20"/>
              <w:kinsoku w:val="0"/>
              <w:overflowPunct w:val="0"/>
              <w:jc w:val="both"/>
              <w:rPr>
                <w:rFonts w:hint="default" w:asciiTheme="minorEastAsia" w:hAnsiTheme="minorEastAsia" w:eastAsiaTheme="minorEastAsia"/>
                <w:spacing w:val="-22"/>
                <w:sz w:val="21"/>
                <w:szCs w:val="21"/>
              </w:rPr>
            </w:pPr>
            <w:r>
              <w:rPr>
                <w:rFonts w:asciiTheme="minorEastAsia" w:hAnsiTheme="minorEastAsia" w:eastAsiaTheme="minorEastAsia"/>
                <w:spacing w:val="-21"/>
                <w:sz w:val="21"/>
                <w:szCs w:val="21"/>
              </w:rPr>
              <w:t xml:space="preserve">符合 </w:t>
            </w:r>
            <w:r>
              <w:rPr>
                <w:rFonts w:asciiTheme="minorEastAsia" w:hAnsiTheme="minorEastAsia" w:eastAsiaTheme="minorEastAsia"/>
                <w:sz w:val="21"/>
                <w:szCs w:val="21"/>
              </w:rPr>
              <w:t>GB/T</w:t>
            </w:r>
            <w:r>
              <w:rPr>
                <w:rFonts w:asciiTheme="minorEastAsia" w:hAnsiTheme="minorEastAsia" w:eastAsiaTheme="minorEastAsia"/>
                <w:spacing w:val="-56"/>
                <w:sz w:val="21"/>
                <w:szCs w:val="21"/>
              </w:rPr>
              <w:t xml:space="preserve"> </w:t>
            </w:r>
            <w:r>
              <w:rPr>
                <w:rFonts w:asciiTheme="minorEastAsia" w:hAnsiTheme="minorEastAsia" w:eastAsiaTheme="minorEastAsia"/>
                <w:sz w:val="21"/>
                <w:szCs w:val="21"/>
              </w:rPr>
              <w:t>7722</w:t>
            </w:r>
            <w:r>
              <w:rPr>
                <w:rFonts w:asciiTheme="minorEastAsia" w:hAnsiTheme="minorEastAsia" w:eastAsiaTheme="minorEastAsia"/>
                <w:spacing w:val="-22"/>
                <w:sz w:val="21"/>
                <w:szCs w:val="21"/>
              </w:rPr>
              <w:t xml:space="preserve"> 要求</w:t>
            </w:r>
          </w:p>
        </w:tc>
        <w:tc>
          <w:tcPr>
            <w:tcW w:w="880" w:type="pct"/>
            <w:vMerge w:val="continue"/>
            <w:tcBorders>
              <w:top w:val="nil"/>
              <w:left w:val="single" w:color="000000" w:sz="4" w:space="0"/>
              <w:bottom w:val="single" w:color="000000" w:sz="4" w:space="0"/>
              <w:right w:val="single" w:color="000000" w:sz="4" w:space="0"/>
              <w:tl2br w:val="nil"/>
              <w:tr2bl w:val="nil"/>
            </w:tcBorders>
            <w:vAlign w:val="center"/>
          </w:tcPr>
          <w:p w14:paraId="0440025E">
            <w:pPr>
              <w:pStyle w:val="12"/>
              <w:tabs>
                <w:tab w:val="left" w:pos="787"/>
              </w:tabs>
              <w:kinsoku w:val="0"/>
              <w:overflowPunct w:val="0"/>
              <w:spacing w:after="2"/>
              <w:jc w:val="both"/>
              <w:rPr>
                <w:rFonts w:hint="default" w:asciiTheme="minorEastAsia" w:hAnsiTheme="minorEastAsia" w:eastAsiaTheme="minorEastAsia"/>
                <w:szCs w:val="21"/>
              </w:rPr>
            </w:pPr>
          </w:p>
        </w:tc>
        <w:tc>
          <w:tcPr>
            <w:tcW w:w="415" w:type="pct"/>
            <w:vMerge w:val="continue"/>
            <w:tcBorders>
              <w:top w:val="nil"/>
              <w:left w:val="single" w:color="000000" w:sz="4" w:space="0"/>
              <w:bottom w:val="single" w:color="000000" w:sz="4" w:space="0"/>
              <w:right w:val="single" w:color="000000" w:sz="4" w:space="0"/>
              <w:tl2br w:val="nil"/>
              <w:tr2bl w:val="nil"/>
            </w:tcBorders>
            <w:vAlign w:val="center"/>
          </w:tcPr>
          <w:p w14:paraId="222A9DD5">
            <w:pPr>
              <w:pStyle w:val="12"/>
              <w:tabs>
                <w:tab w:val="left" w:pos="787"/>
              </w:tabs>
              <w:kinsoku w:val="0"/>
              <w:overflowPunct w:val="0"/>
              <w:spacing w:after="2"/>
              <w:jc w:val="center"/>
              <w:rPr>
                <w:rFonts w:hint="default" w:asciiTheme="minorEastAsia" w:hAnsiTheme="minorEastAsia" w:eastAsiaTheme="minorEastAsia"/>
                <w:szCs w:val="21"/>
              </w:rPr>
            </w:pPr>
          </w:p>
        </w:tc>
        <w:tc>
          <w:tcPr>
            <w:tcW w:w="1944" w:type="pct"/>
            <w:vMerge w:val="continue"/>
            <w:tcBorders>
              <w:top w:val="nil"/>
              <w:left w:val="single" w:color="000000" w:sz="4" w:space="0"/>
              <w:bottom w:val="single" w:color="000000" w:sz="4" w:space="0"/>
              <w:right w:val="single" w:color="000000" w:sz="4" w:space="0"/>
              <w:tl2br w:val="nil"/>
              <w:tr2bl w:val="nil"/>
            </w:tcBorders>
            <w:vAlign w:val="center"/>
          </w:tcPr>
          <w:p w14:paraId="69DDC4D9">
            <w:pPr>
              <w:pStyle w:val="12"/>
              <w:tabs>
                <w:tab w:val="left" w:pos="787"/>
              </w:tabs>
              <w:kinsoku w:val="0"/>
              <w:overflowPunct w:val="0"/>
              <w:spacing w:after="2"/>
              <w:jc w:val="both"/>
              <w:rPr>
                <w:rFonts w:hint="default" w:asciiTheme="minorEastAsia" w:hAnsiTheme="minorEastAsia" w:eastAsiaTheme="minorEastAsia"/>
                <w:szCs w:val="21"/>
              </w:rPr>
            </w:pPr>
          </w:p>
        </w:tc>
      </w:tr>
      <w:tr w14:paraId="5A3112A2">
        <w:tblPrEx>
          <w:tblCellMar>
            <w:top w:w="0" w:type="dxa"/>
            <w:left w:w="108" w:type="dxa"/>
            <w:bottom w:w="0" w:type="dxa"/>
            <w:right w:w="108" w:type="dxa"/>
          </w:tblCellMar>
        </w:tblPrEx>
        <w:trPr>
          <w:trHeight w:val="1021"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0983C686">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628D743C">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尼龙带尺</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4D0720B0">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符合GB/T 26343 要求</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456C8731">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钢直尺/钢卷尺</w:t>
            </w:r>
          </w:p>
        </w:tc>
        <w:tc>
          <w:tcPr>
            <w:tcW w:w="415" w:type="pct"/>
            <w:tcBorders>
              <w:top w:val="single" w:color="000000" w:sz="4" w:space="0"/>
              <w:left w:val="single" w:color="000000" w:sz="4" w:space="0"/>
              <w:bottom w:val="single" w:color="000000" w:sz="4" w:space="0"/>
              <w:right w:val="single" w:color="000000" w:sz="4" w:space="0"/>
              <w:tl2br w:val="nil"/>
              <w:tr2bl w:val="nil"/>
            </w:tcBorders>
            <w:vAlign w:val="center"/>
          </w:tcPr>
          <w:p w14:paraId="7D9ECBCD">
            <w:pPr>
              <w:pStyle w:val="20"/>
              <w:kinsoku w:val="0"/>
              <w:overflowPunct w:val="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每日</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6CAA5643">
            <w:pPr>
              <w:pStyle w:val="20"/>
              <w:kinsoku w:val="0"/>
              <w:overflowPunct w:val="0"/>
              <w:spacing w:before="36"/>
              <w:jc w:val="both"/>
              <w:rPr>
                <w:rFonts w:hint="default" w:asciiTheme="minorEastAsia" w:hAnsiTheme="minorEastAsia" w:eastAsiaTheme="minorEastAsia"/>
                <w:sz w:val="21"/>
                <w:szCs w:val="21"/>
              </w:rPr>
            </w:pPr>
            <w:r>
              <w:rPr>
                <w:rFonts w:asciiTheme="minorEastAsia" w:hAnsiTheme="minorEastAsia" w:eastAsiaTheme="minorEastAsia"/>
                <w:sz w:val="21"/>
                <w:szCs w:val="21"/>
              </w:rPr>
              <w:t>每米误差不应超过±0.2%</w:t>
            </w:r>
          </w:p>
        </w:tc>
      </w:tr>
      <w:tr w14:paraId="7AE07BF3">
        <w:tblPrEx>
          <w:tblCellMar>
            <w:top w:w="0" w:type="dxa"/>
            <w:left w:w="108" w:type="dxa"/>
            <w:bottom w:w="0" w:type="dxa"/>
            <w:right w:w="108" w:type="dxa"/>
          </w:tblCellMar>
        </w:tblPrEx>
        <w:trPr>
          <w:trHeight w:val="775"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62BEA079">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02BFA14">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电子血压计</w:t>
            </w:r>
          </w:p>
        </w:tc>
        <w:tc>
          <w:tcPr>
            <w:tcW w:w="71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586CBD80">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符合 JJG 692 要求</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0B120000">
            <w:pPr>
              <w:pStyle w:val="20"/>
              <w:kinsoku w:val="0"/>
              <w:overflowPunct w:val="0"/>
              <w:spacing w:before="35"/>
              <w:jc w:val="both"/>
              <w:rPr>
                <w:rFonts w:asciiTheme="minorEastAsia" w:hAnsiTheme="minorEastAsia" w:eastAsiaTheme="minorEastAsia"/>
                <w:sz w:val="21"/>
                <w:szCs w:val="21"/>
              </w:rPr>
            </w:pPr>
            <w:r>
              <w:rPr>
                <w:rFonts w:asciiTheme="minorEastAsia" w:hAnsiTheme="minorEastAsia" w:eastAsiaTheme="minorEastAsia"/>
                <w:sz w:val="21"/>
                <w:szCs w:val="21"/>
              </w:rPr>
              <w:t>血压模拟器</w:t>
            </w:r>
          </w:p>
          <w:p w14:paraId="5AFDB2C2">
            <w:pPr>
              <w:pStyle w:val="20"/>
              <w:kinsoku w:val="0"/>
              <w:overflowPunct w:val="0"/>
              <w:spacing w:before="35"/>
              <w:jc w:val="both"/>
              <w:rPr>
                <w:rFonts w:hint="default" w:asciiTheme="minorEastAsia" w:hAnsiTheme="minorEastAsia" w:eastAsiaTheme="minorEastAsia"/>
                <w:w w:val="95"/>
                <w:sz w:val="21"/>
                <w:szCs w:val="21"/>
              </w:rPr>
            </w:pPr>
            <w:r>
              <w:rPr>
                <w:rFonts w:asciiTheme="minorEastAsia" w:hAnsiTheme="minorEastAsia" w:eastAsiaTheme="minorEastAsia"/>
                <w:sz w:val="21"/>
                <w:szCs w:val="21"/>
              </w:rPr>
              <w:t>（标准物）</w:t>
            </w:r>
          </w:p>
        </w:tc>
        <w:tc>
          <w:tcPr>
            <w:tcW w:w="415"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8877499">
            <w:pPr>
              <w:pStyle w:val="20"/>
              <w:kinsoku w:val="0"/>
              <w:overflowPunct w:val="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定期</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0ED17BAA">
            <w:pPr>
              <w:pStyle w:val="20"/>
              <w:kinsoku w:val="0"/>
              <w:overflowPunct w:val="0"/>
              <w:spacing w:before="35" w:line="278" w:lineRule="auto"/>
              <w:jc w:val="both"/>
              <w:rPr>
                <w:rFonts w:hint="default" w:asciiTheme="minorEastAsia" w:hAnsiTheme="minorEastAsia" w:eastAsiaTheme="minorEastAsia"/>
                <w:sz w:val="21"/>
                <w:szCs w:val="21"/>
              </w:rPr>
            </w:pPr>
            <w:r>
              <w:rPr>
                <w:rFonts w:asciiTheme="minorEastAsia" w:hAnsiTheme="minorEastAsia" w:eastAsiaTheme="minorEastAsia"/>
                <w:sz w:val="21"/>
                <w:szCs w:val="21"/>
              </w:rPr>
              <w:t xml:space="preserve">按照无创自动测量血压 </w:t>
            </w:r>
            <w:r>
              <w:rPr>
                <w:rFonts w:asciiTheme="minorEastAsia" w:hAnsiTheme="minorEastAsia" w:eastAsiaTheme="minorEastAsia"/>
                <w:spacing w:val="-6"/>
                <w:sz w:val="21"/>
                <w:szCs w:val="21"/>
              </w:rPr>
              <w:t xml:space="preserve">计方法校准，至少每 </w:t>
            </w:r>
            <w:r>
              <w:rPr>
                <w:rFonts w:asciiTheme="minorEastAsia" w:hAnsiTheme="minorEastAsia" w:eastAsiaTheme="minorEastAsia"/>
                <w:sz w:val="21"/>
                <w:szCs w:val="21"/>
              </w:rPr>
              <w:t>2</w:t>
            </w:r>
            <w:r>
              <w:rPr>
                <w:rFonts w:asciiTheme="minorEastAsia" w:hAnsiTheme="minorEastAsia" w:eastAsiaTheme="minorEastAsia"/>
                <w:spacing w:val="-29"/>
                <w:sz w:val="21"/>
                <w:szCs w:val="21"/>
              </w:rPr>
              <w:t xml:space="preserve"> 周</w:t>
            </w:r>
            <w:r>
              <w:rPr>
                <w:rFonts w:asciiTheme="minorEastAsia" w:hAnsiTheme="minorEastAsia" w:eastAsiaTheme="minorEastAsia"/>
                <w:spacing w:val="-8"/>
                <w:sz w:val="21"/>
                <w:szCs w:val="21"/>
              </w:rPr>
              <w:t>一次，测量差值平均值≤</w:t>
            </w:r>
            <w:r>
              <w:rPr>
                <w:rFonts w:asciiTheme="minorEastAsia" w:hAnsiTheme="minorEastAsia" w:eastAsiaTheme="minorEastAsia"/>
                <w:sz w:val="21"/>
                <w:szCs w:val="21"/>
              </w:rPr>
              <w:t>5mmHg</w:t>
            </w:r>
          </w:p>
        </w:tc>
      </w:tr>
      <w:tr w14:paraId="7CD68FA3">
        <w:tblPrEx>
          <w:tblCellMar>
            <w:top w:w="0" w:type="dxa"/>
            <w:left w:w="108" w:type="dxa"/>
            <w:bottom w:w="0" w:type="dxa"/>
            <w:right w:w="108" w:type="dxa"/>
          </w:tblCellMar>
        </w:tblPrEx>
        <w:trPr>
          <w:trHeight w:val="638"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6FB334A6">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vMerge w:val="continue"/>
            <w:tcBorders>
              <w:top w:val="nil"/>
              <w:left w:val="single" w:color="000000" w:sz="4" w:space="0"/>
              <w:bottom w:val="single" w:color="000000" w:sz="4" w:space="0"/>
              <w:right w:val="single" w:color="000000" w:sz="4" w:space="0"/>
              <w:tl2br w:val="nil"/>
              <w:tr2bl w:val="nil"/>
            </w:tcBorders>
            <w:vAlign w:val="center"/>
          </w:tcPr>
          <w:p w14:paraId="2A40BE4E">
            <w:pPr>
              <w:pStyle w:val="12"/>
              <w:tabs>
                <w:tab w:val="left" w:pos="787"/>
              </w:tabs>
              <w:kinsoku w:val="0"/>
              <w:overflowPunct w:val="0"/>
              <w:spacing w:after="2"/>
              <w:jc w:val="both"/>
              <w:rPr>
                <w:rFonts w:hint="default" w:asciiTheme="minorEastAsia" w:hAnsiTheme="minorEastAsia" w:eastAsiaTheme="minorEastAsia"/>
                <w:szCs w:val="21"/>
              </w:rPr>
            </w:pPr>
          </w:p>
        </w:tc>
        <w:tc>
          <w:tcPr>
            <w:tcW w:w="710" w:type="pct"/>
            <w:vMerge w:val="continue"/>
            <w:tcBorders>
              <w:top w:val="nil"/>
              <w:left w:val="single" w:color="000000" w:sz="4" w:space="0"/>
              <w:bottom w:val="single" w:color="000000" w:sz="4" w:space="0"/>
              <w:right w:val="single" w:color="000000" w:sz="4" w:space="0"/>
              <w:tl2br w:val="nil"/>
              <w:tr2bl w:val="nil"/>
            </w:tcBorders>
            <w:vAlign w:val="center"/>
          </w:tcPr>
          <w:p w14:paraId="79D08684">
            <w:pPr>
              <w:pStyle w:val="12"/>
              <w:tabs>
                <w:tab w:val="left" w:pos="787"/>
              </w:tabs>
              <w:kinsoku w:val="0"/>
              <w:overflowPunct w:val="0"/>
              <w:spacing w:after="2"/>
              <w:jc w:val="both"/>
              <w:rPr>
                <w:rFonts w:hint="default" w:asciiTheme="minorEastAsia" w:hAnsiTheme="minorEastAsia" w:eastAsiaTheme="minorEastAsia"/>
                <w:szCs w:val="21"/>
              </w:rPr>
            </w:pP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2EE25408">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水银血压计</w:t>
            </w:r>
          </w:p>
        </w:tc>
        <w:tc>
          <w:tcPr>
            <w:tcW w:w="415" w:type="pct"/>
            <w:vMerge w:val="continue"/>
            <w:tcBorders>
              <w:top w:val="nil"/>
              <w:left w:val="single" w:color="000000" w:sz="4" w:space="0"/>
              <w:bottom w:val="single" w:color="000000" w:sz="4" w:space="0"/>
              <w:right w:val="single" w:color="000000" w:sz="4" w:space="0"/>
              <w:tl2br w:val="nil"/>
              <w:tr2bl w:val="nil"/>
            </w:tcBorders>
            <w:vAlign w:val="center"/>
          </w:tcPr>
          <w:p w14:paraId="06B5CD6E">
            <w:pPr>
              <w:pStyle w:val="12"/>
              <w:tabs>
                <w:tab w:val="left" w:pos="787"/>
              </w:tabs>
              <w:kinsoku w:val="0"/>
              <w:overflowPunct w:val="0"/>
              <w:spacing w:after="2"/>
              <w:jc w:val="center"/>
              <w:rPr>
                <w:rFonts w:hint="default" w:asciiTheme="minorEastAsia" w:hAnsiTheme="minorEastAsia" w:eastAsiaTheme="minorEastAsia"/>
                <w:szCs w:val="21"/>
              </w:rPr>
            </w:pP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6D3B1C63">
            <w:pPr>
              <w:pStyle w:val="20"/>
              <w:kinsoku w:val="0"/>
              <w:overflowPunct w:val="0"/>
              <w:spacing w:before="36"/>
              <w:jc w:val="both"/>
              <w:rPr>
                <w:rFonts w:hint="default" w:asciiTheme="minorEastAsia" w:hAnsiTheme="minorEastAsia" w:eastAsiaTheme="minorEastAsia"/>
                <w:sz w:val="21"/>
                <w:szCs w:val="21"/>
              </w:rPr>
            </w:pPr>
            <w:r>
              <w:rPr>
                <w:rFonts w:asciiTheme="minorEastAsia" w:hAnsiTheme="minorEastAsia" w:eastAsiaTheme="minorEastAsia"/>
                <w:sz w:val="21"/>
                <w:szCs w:val="21"/>
              </w:rPr>
              <w:t>比对测量差值平均值≤5mmHg</w:t>
            </w:r>
          </w:p>
        </w:tc>
      </w:tr>
      <w:tr w14:paraId="47A44C16">
        <w:tblPrEx>
          <w:tblCellMar>
            <w:top w:w="0" w:type="dxa"/>
            <w:left w:w="108" w:type="dxa"/>
            <w:bottom w:w="0" w:type="dxa"/>
            <w:right w:w="108" w:type="dxa"/>
          </w:tblCellMar>
        </w:tblPrEx>
        <w:trPr>
          <w:trHeight w:val="1113"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004BC716">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72D59923">
            <w:pPr>
              <w:pStyle w:val="20"/>
              <w:kinsoku w:val="0"/>
              <w:overflowPunct w:val="0"/>
              <w:spacing w:before="151"/>
              <w:jc w:val="both"/>
              <w:rPr>
                <w:rFonts w:hint="default" w:asciiTheme="minorEastAsia" w:hAnsiTheme="minorEastAsia" w:eastAsiaTheme="minorEastAsia"/>
                <w:sz w:val="21"/>
                <w:szCs w:val="21"/>
              </w:rPr>
            </w:pPr>
            <w:r>
              <w:rPr>
                <w:rFonts w:asciiTheme="minorEastAsia" w:hAnsiTheme="minorEastAsia" w:eastAsiaTheme="minorEastAsia"/>
                <w:sz w:val="21"/>
                <w:szCs w:val="21"/>
              </w:rPr>
              <w:t>躯干旋转测量仪</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51CE2C37">
            <w:pPr>
              <w:pStyle w:val="20"/>
              <w:kinsoku w:val="0"/>
              <w:overflowPunct w:val="0"/>
              <w:spacing w:before="151"/>
              <w:jc w:val="both"/>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6F75E50E">
            <w:pPr>
              <w:pStyle w:val="20"/>
              <w:kinsoku w:val="0"/>
              <w:overflowPunct w:val="0"/>
              <w:spacing w:before="151"/>
              <w:jc w:val="both"/>
              <w:rPr>
                <w:rFonts w:hint="default" w:asciiTheme="minorEastAsia" w:hAnsiTheme="minorEastAsia" w:eastAsiaTheme="minorEastAsia"/>
                <w:sz w:val="21"/>
                <w:szCs w:val="21"/>
              </w:rPr>
            </w:pPr>
            <w:r>
              <w:rPr>
                <w:rFonts w:asciiTheme="minorEastAsia" w:hAnsiTheme="minorEastAsia" w:eastAsiaTheme="minorEastAsia"/>
                <w:sz w:val="21"/>
                <w:szCs w:val="21"/>
              </w:rPr>
              <w:t>水平仪</w:t>
            </w:r>
          </w:p>
        </w:tc>
        <w:tc>
          <w:tcPr>
            <w:tcW w:w="415" w:type="pct"/>
            <w:tcBorders>
              <w:top w:val="single" w:color="000000" w:sz="4" w:space="0"/>
              <w:left w:val="single" w:color="000000" w:sz="4" w:space="0"/>
              <w:bottom w:val="single" w:color="000000" w:sz="4" w:space="0"/>
              <w:right w:val="single" w:color="000000" w:sz="4" w:space="0"/>
              <w:tl2br w:val="nil"/>
              <w:tr2bl w:val="nil"/>
            </w:tcBorders>
            <w:vAlign w:val="center"/>
          </w:tcPr>
          <w:p w14:paraId="4FFAF009">
            <w:pPr>
              <w:pStyle w:val="20"/>
              <w:kinsoku w:val="0"/>
              <w:overflowPunct w:val="0"/>
              <w:spacing w:before="151"/>
              <w:jc w:val="center"/>
              <w:rPr>
                <w:rFonts w:hint="default" w:asciiTheme="minorEastAsia" w:hAnsiTheme="minorEastAsia" w:eastAsiaTheme="minorEastAsia"/>
                <w:sz w:val="21"/>
                <w:szCs w:val="21"/>
              </w:rPr>
            </w:pPr>
            <w:r>
              <w:rPr>
                <w:rFonts w:asciiTheme="minorEastAsia" w:hAnsiTheme="minorEastAsia" w:eastAsiaTheme="minorEastAsia"/>
                <w:sz w:val="21"/>
                <w:szCs w:val="21"/>
              </w:rPr>
              <w:t>定期</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1A4138C0">
            <w:pPr>
              <w:pStyle w:val="20"/>
              <w:kinsoku w:val="0"/>
              <w:overflowPunct w:val="0"/>
              <w:spacing w:before="151"/>
              <w:jc w:val="both"/>
              <w:rPr>
                <w:rFonts w:hint="default" w:asciiTheme="minorEastAsia" w:hAnsiTheme="minorEastAsia" w:eastAsiaTheme="minorEastAsia"/>
                <w:sz w:val="21"/>
                <w:szCs w:val="21"/>
              </w:rPr>
            </w:pPr>
            <w:r>
              <w:rPr>
                <w:rFonts w:asciiTheme="minorEastAsia" w:hAnsiTheme="minorEastAsia" w:eastAsiaTheme="minorEastAsia"/>
                <w:sz w:val="21"/>
                <w:szCs w:val="21"/>
              </w:rPr>
              <w:t>倾斜角测量角度值为0°</w:t>
            </w:r>
          </w:p>
        </w:tc>
      </w:tr>
      <w:tr w14:paraId="5BE35A19">
        <w:tblPrEx>
          <w:tblCellMar>
            <w:top w:w="0" w:type="dxa"/>
            <w:left w:w="108" w:type="dxa"/>
            <w:bottom w:w="0" w:type="dxa"/>
            <w:right w:w="108" w:type="dxa"/>
          </w:tblCellMar>
        </w:tblPrEx>
        <w:trPr>
          <w:trHeight w:val="1115"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44748CA0">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5E81FEAB">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标准对数视力表灯箱</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1B430D2A">
            <w:pPr>
              <w:pStyle w:val="20"/>
              <w:kinsoku w:val="0"/>
              <w:overflowPunct w:val="0"/>
              <w:spacing w:before="37"/>
              <w:jc w:val="both"/>
              <w:rPr>
                <w:rFonts w:hint="default" w:asciiTheme="minorEastAsia" w:hAnsiTheme="minorEastAsia" w:eastAsiaTheme="minorEastAsia"/>
                <w:sz w:val="21"/>
                <w:szCs w:val="21"/>
              </w:rPr>
            </w:pPr>
            <w:r>
              <w:rPr>
                <w:rFonts w:asciiTheme="minorEastAsia" w:hAnsiTheme="minorEastAsia" w:eastAsiaTheme="minorEastAsia"/>
                <w:sz w:val="21"/>
                <w:szCs w:val="21"/>
              </w:rPr>
              <w:t>符合 GB/T  11533 要求</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4267ECEC">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光度计</w:t>
            </w:r>
          </w:p>
        </w:tc>
        <w:tc>
          <w:tcPr>
            <w:tcW w:w="415" w:type="pct"/>
            <w:tcBorders>
              <w:top w:val="single" w:color="000000" w:sz="4" w:space="0"/>
              <w:left w:val="single" w:color="000000" w:sz="4" w:space="0"/>
              <w:bottom w:val="single" w:color="000000" w:sz="4" w:space="0"/>
              <w:right w:val="single" w:color="000000" w:sz="4" w:space="0"/>
              <w:tl2br w:val="nil"/>
              <w:tr2bl w:val="nil"/>
            </w:tcBorders>
            <w:vAlign w:val="center"/>
          </w:tcPr>
          <w:p w14:paraId="3BEAC956">
            <w:pPr>
              <w:pStyle w:val="20"/>
              <w:kinsoku w:val="0"/>
              <w:overflowPunct w:val="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每日</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2C3DA5C4">
            <w:pPr>
              <w:pStyle w:val="20"/>
              <w:kinsoku w:val="0"/>
              <w:overflowPunct w:val="0"/>
              <w:jc w:val="both"/>
              <w:rPr>
                <w:rFonts w:hint="default" w:asciiTheme="minorEastAsia" w:hAnsiTheme="minorEastAsia" w:eastAsiaTheme="minorEastAsia"/>
                <w:sz w:val="21"/>
                <w:szCs w:val="21"/>
              </w:rPr>
            </w:pPr>
            <w:r>
              <w:rPr>
                <w:rFonts w:asciiTheme="minorEastAsia" w:hAnsiTheme="minorEastAsia" w:eastAsiaTheme="minorEastAsia"/>
                <w:sz w:val="21"/>
                <w:szCs w:val="21"/>
              </w:rPr>
              <w:t>亮度≥200cd/㎡</w:t>
            </w:r>
          </w:p>
        </w:tc>
      </w:tr>
      <w:tr w14:paraId="335C6B70">
        <w:tblPrEx>
          <w:tblCellMar>
            <w:top w:w="0" w:type="dxa"/>
            <w:left w:w="108" w:type="dxa"/>
            <w:bottom w:w="0" w:type="dxa"/>
            <w:right w:w="108" w:type="dxa"/>
          </w:tblCellMar>
        </w:tblPrEx>
        <w:trPr>
          <w:trHeight w:val="1131" w:hRule="atLeast"/>
        </w:trPr>
        <w:tc>
          <w:tcPr>
            <w:tcW w:w="409" w:type="pct"/>
            <w:vMerge w:val="continue"/>
            <w:tcBorders>
              <w:top w:val="nil"/>
              <w:left w:val="single" w:color="000000" w:sz="4" w:space="0"/>
              <w:bottom w:val="single" w:color="000000" w:sz="4" w:space="0"/>
              <w:right w:val="single" w:color="000000" w:sz="4" w:space="0"/>
              <w:tl2br w:val="nil"/>
              <w:tr2bl w:val="nil"/>
            </w:tcBorders>
            <w:vAlign w:val="center"/>
          </w:tcPr>
          <w:p w14:paraId="02B18992">
            <w:pPr>
              <w:pStyle w:val="12"/>
              <w:tabs>
                <w:tab w:val="left" w:pos="787"/>
              </w:tabs>
              <w:kinsoku w:val="0"/>
              <w:overflowPunct w:val="0"/>
              <w:spacing w:after="2"/>
              <w:jc w:val="both"/>
              <w:rPr>
                <w:rFonts w:hint="default" w:asciiTheme="minorEastAsia" w:hAnsiTheme="minorEastAsia" w:eastAsiaTheme="minorEastAsia"/>
                <w:szCs w:val="21"/>
              </w:rPr>
            </w:pPr>
          </w:p>
        </w:tc>
        <w:tc>
          <w:tcPr>
            <w:tcW w:w="639" w:type="pct"/>
            <w:tcBorders>
              <w:top w:val="single" w:color="000000" w:sz="4" w:space="0"/>
              <w:left w:val="single" w:color="000000" w:sz="4" w:space="0"/>
              <w:bottom w:val="single" w:color="000000" w:sz="4" w:space="0"/>
              <w:right w:val="single" w:color="000000" w:sz="4" w:space="0"/>
              <w:tl2br w:val="nil"/>
              <w:tr2bl w:val="nil"/>
            </w:tcBorders>
            <w:vAlign w:val="center"/>
          </w:tcPr>
          <w:p w14:paraId="238C0B97">
            <w:pPr>
              <w:pStyle w:val="20"/>
              <w:kinsoku w:val="0"/>
              <w:overflowPunct w:val="0"/>
              <w:spacing w:before="36"/>
              <w:jc w:val="both"/>
              <w:rPr>
                <w:rFonts w:hint="default" w:asciiTheme="minorEastAsia" w:hAnsiTheme="minorEastAsia" w:eastAsiaTheme="minorEastAsia"/>
                <w:sz w:val="21"/>
                <w:szCs w:val="21"/>
              </w:rPr>
            </w:pPr>
            <w:r>
              <w:rPr>
                <w:rFonts w:asciiTheme="minorEastAsia" w:hAnsiTheme="minorEastAsia" w:eastAsiaTheme="minorEastAsia"/>
                <w:sz w:val="21"/>
                <w:szCs w:val="21"/>
              </w:rPr>
              <w:t>台式自动电脑验光仪</w:t>
            </w:r>
          </w:p>
        </w:tc>
        <w:tc>
          <w:tcPr>
            <w:tcW w:w="710" w:type="pct"/>
            <w:tcBorders>
              <w:top w:val="single" w:color="000000" w:sz="4" w:space="0"/>
              <w:left w:val="single" w:color="000000" w:sz="4" w:space="0"/>
              <w:bottom w:val="single" w:color="000000" w:sz="4" w:space="0"/>
              <w:right w:val="single" w:color="000000" w:sz="4" w:space="0"/>
              <w:tl2br w:val="nil"/>
              <w:tr2bl w:val="nil"/>
            </w:tcBorders>
            <w:vAlign w:val="center"/>
          </w:tcPr>
          <w:p w14:paraId="097DD235">
            <w:pPr>
              <w:pStyle w:val="20"/>
              <w:kinsoku w:val="0"/>
              <w:overflowPunct w:val="0"/>
              <w:spacing w:before="37"/>
              <w:jc w:val="both"/>
              <w:rPr>
                <w:rFonts w:hint="default" w:asciiTheme="minorEastAsia" w:hAnsiTheme="minorEastAsia" w:eastAsiaTheme="minorEastAsia"/>
                <w:sz w:val="21"/>
                <w:szCs w:val="21"/>
              </w:rPr>
            </w:pPr>
            <w:r>
              <w:rPr>
                <w:rFonts w:asciiTheme="minorEastAsia" w:hAnsiTheme="minorEastAsia" w:eastAsiaTheme="minorEastAsia"/>
                <w:sz w:val="21"/>
                <w:szCs w:val="21"/>
              </w:rPr>
              <w:t>符合YY  0673 规定</w:t>
            </w:r>
          </w:p>
        </w:tc>
        <w:tc>
          <w:tcPr>
            <w:tcW w:w="880" w:type="pct"/>
            <w:tcBorders>
              <w:top w:val="single" w:color="000000" w:sz="4" w:space="0"/>
              <w:left w:val="single" w:color="000000" w:sz="4" w:space="0"/>
              <w:bottom w:val="single" w:color="000000" w:sz="4" w:space="0"/>
              <w:right w:val="single" w:color="000000" w:sz="4" w:space="0"/>
              <w:tl2br w:val="nil"/>
              <w:tr2bl w:val="nil"/>
            </w:tcBorders>
            <w:vAlign w:val="center"/>
          </w:tcPr>
          <w:p w14:paraId="258CC29A">
            <w:pPr>
              <w:pStyle w:val="20"/>
              <w:kinsoku w:val="0"/>
              <w:overflowPunct w:val="0"/>
              <w:spacing w:before="36"/>
              <w:jc w:val="both"/>
              <w:rPr>
                <w:rFonts w:hint="default" w:asciiTheme="minorEastAsia" w:hAnsiTheme="minorEastAsia" w:eastAsiaTheme="minorEastAsia"/>
                <w:sz w:val="21"/>
                <w:szCs w:val="21"/>
              </w:rPr>
            </w:pPr>
            <w:r>
              <w:rPr>
                <w:rFonts w:asciiTheme="minorEastAsia" w:hAnsiTheme="minorEastAsia" w:eastAsiaTheme="minorEastAsia"/>
                <w:sz w:val="21"/>
                <w:szCs w:val="21"/>
              </w:rPr>
              <w:t>标准眼</w:t>
            </w:r>
          </w:p>
        </w:tc>
        <w:tc>
          <w:tcPr>
            <w:tcW w:w="415" w:type="pct"/>
            <w:tcBorders>
              <w:top w:val="single" w:color="000000" w:sz="4" w:space="0"/>
              <w:left w:val="single" w:color="000000" w:sz="4" w:space="0"/>
              <w:bottom w:val="single" w:color="000000" w:sz="4" w:space="0"/>
              <w:right w:val="single" w:color="000000" w:sz="4" w:space="0"/>
              <w:tl2br w:val="nil"/>
              <w:tr2bl w:val="nil"/>
            </w:tcBorders>
            <w:vAlign w:val="center"/>
          </w:tcPr>
          <w:p w14:paraId="1CA8238B">
            <w:pPr>
              <w:pStyle w:val="20"/>
              <w:kinsoku w:val="0"/>
              <w:overflowPunct w:val="0"/>
              <w:spacing w:before="36"/>
              <w:jc w:val="center"/>
              <w:rPr>
                <w:rFonts w:hint="default" w:asciiTheme="minorEastAsia" w:hAnsiTheme="minorEastAsia" w:eastAsiaTheme="minorEastAsia"/>
                <w:sz w:val="21"/>
                <w:szCs w:val="21"/>
              </w:rPr>
            </w:pPr>
            <w:r>
              <w:rPr>
                <w:rFonts w:asciiTheme="minorEastAsia" w:hAnsiTheme="minorEastAsia" w:eastAsiaTheme="minorEastAsia"/>
                <w:sz w:val="21"/>
                <w:szCs w:val="21"/>
              </w:rPr>
              <w:t>每日</w:t>
            </w:r>
          </w:p>
        </w:tc>
        <w:tc>
          <w:tcPr>
            <w:tcW w:w="1944" w:type="pct"/>
            <w:tcBorders>
              <w:top w:val="single" w:color="000000" w:sz="4" w:space="0"/>
              <w:left w:val="single" w:color="000000" w:sz="4" w:space="0"/>
              <w:bottom w:val="single" w:color="000000" w:sz="4" w:space="0"/>
              <w:right w:val="single" w:color="000000" w:sz="4" w:space="0"/>
              <w:tl2br w:val="nil"/>
              <w:tr2bl w:val="nil"/>
            </w:tcBorders>
            <w:vAlign w:val="center"/>
          </w:tcPr>
          <w:p w14:paraId="56C53E2C">
            <w:pPr>
              <w:pStyle w:val="20"/>
              <w:kinsoku w:val="0"/>
              <w:overflowPunct w:val="0"/>
              <w:spacing w:before="36"/>
              <w:jc w:val="both"/>
              <w:rPr>
                <w:rFonts w:hint="default" w:asciiTheme="minorEastAsia" w:hAnsiTheme="minorEastAsia" w:eastAsiaTheme="minorEastAsia"/>
                <w:sz w:val="21"/>
                <w:szCs w:val="21"/>
              </w:rPr>
            </w:pPr>
            <w:r>
              <w:rPr>
                <w:rFonts w:asciiTheme="minorEastAsia" w:hAnsiTheme="minorEastAsia" w:eastAsiaTheme="minorEastAsia"/>
                <w:sz w:val="21"/>
                <w:szCs w:val="21"/>
              </w:rPr>
              <w:t>将柱镜值调至负值状态</w:t>
            </w:r>
          </w:p>
        </w:tc>
      </w:tr>
    </w:tbl>
    <w:p w14:paraId="3F098398">
      <w:pPr>
        <w:jc w:val="both"/>
        <w:rPr>
          <w:rFonts w:hint="default" w:ascii="黑体" w:hAnsi="黑体" w:eastAsia="黑体"/>
          <w:sz w:val="21"/>
        </w:rPr>
        <w:sectPr>
          <w:footerReference r:id="rId4" w:type="default"/>
          <w:pgSz w:w="11911" w:h="16838"/>
          <w:pgMar w:top="1440" w:right="1800" w:bottom="1440" w:left="1800" w:header="1451" w:footer="1140" w:gutter="0"/>
          <w:pgNumType w:fmt="decimal" w:start="1"/>
          <w:cols w:space="0" w:num="1"/>
          <w:docGrid w:linePitch="299" w:charSpace="0"/>
        </w:sectPr>
      </w:pPr>
    </w:p>
    <w:tbl>
      <w:tblPr>
        <w:tblStyle w:val="16"/>
        <w:tblpPr w:leftFromText="180" w:rightFromText="180" w:vertAnchor="text" w:horzAnchor="page" w:tblpXSpec="center" w:tblpY="610"/>
        <w:tblOverlap w:val="never"/>
        <w:tblW w:w="5103" w:type="pct"/>
        <w:tblInd w:w="-176" w:type="dxa"/>
        <w:tblLayout w:type="autofit"/>
        <w:tblCellMar>
          <w:top w:w="0" w:type="dxa"/>
          <w:left w:w="108" w:type="dxa"/>
          <w:bottom w:w="0" w:type="dxa"/>
          <w:right w:w="108" w:type="dxa"/>
        </w:tblCellMar>
      </w:tblPr>
      <w:tblGrid>
        <w:gridCol w:w="709"/>
        <w:gridCol w:w="1468"/>
        <w:gridCol w:w="1287"/>
        <w:gridCol w:w="784"/>
        <w:gridCol w:w="707"/>
        <w:gridCol w:w="3748"/>
      </w:tblGrid>
      <w:tr w14:paraId="2444D912">
        <w:tblPrEx>
          <w:tblCellMar>
            <w:top w:w="0" w:type="dxa"/>
            <w:left w:w="108" w:type="dxa"/>
            <w:bottom w:w="0" w:type="dxa"/>
            <w:right w:w="108" w:type="dxa"/>
          </w:tblCellMar>
        </w:tblPrEx>
        <w:trPr>
          <w:trHeight w:val="553" w:hRule="atLeast"/>
        </w:trPr>
        <w:tc>
          <w:tcPr>
            <w:tcW w:w="407" w:type="pct"/>
            <w:tcBorders>
              <w:top w:val="single" w:color="000000" w:sz="4" w:space="0"/>
              <w:left w:val="single" w:color="000000" w:sz="4" w:space="0"/>
              <w:bottom w:val="single" w:color="000000" w:sz="4" w:space="0"/>
              <w:right w:val="single" w:color="000000" w:sz="4" w:space="0"/>
              <w:tl2br w:val="nil"/>
              <w:tr2bl w:val="nil"/>
            </w:tcBorders>
            <w:vAlign w:val="center"/>
          </w:tcPr>
          <w:p w14:paraId="11C96985">
            <w:pPr>
              <w:pStyle w:val="20"/>
              <w:kinsoku w:val="0"/>
              <w:overflowPunct w:val="0"/>
              <w:spacing w:before="37"/>
              <w:jc w:val="center"/>
              <w:rPr>
                <w:rFonts w:hint="default" w:asciiTheme="minorEastAsia" w:hAnsiTheme="minorEastAsia" w:eastAsiaTheme="minorEastAsia"/>
                <w:sz w:val="21"/>
                <w:szCs w:val="21"/>
              </w:rPr>
            </w:pPr>
            <w:r>
              <w:rPr>
                <w:rFonts w:asciiTheme="minorEastAsia" w:hAnsiTheme="minorEastAsia" w:eastAsiaTheme="minorEastAsia"/>
                <w:sz w:val="21"/>
                <w:szCs w:val="21"/>
              </w:rPr>
              <w:t>监测内容</w:t>
            </w: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48501E4D">
            <w:pPr>
              <w:pStyle w:val="20"/>
              <w:kinsoku w:val="0"/>
              <w:overflowPunct w:val="0"/>
              <w:spacing w:before="37"/>
              <w:jc w:val="center"/>
              <w:rPr>
                <w:rFonts w:hint="default" w:asciiTheme="minorEastAsia" w:hAnsiTheme="minorEastAsia" w:eastAsiaTheme="minorEastAsia"/>
                <w:sz w:val="21"/>
                <w:szCs w:val="21"/>
              </w:rPr>
            </w:pPr>
            <w:r>
              <w:rPr>
                <w:rFonts w:asciiTheme="minorEastAsia" w:hAnsiTheme="minorEastAsia" w:eastAsiaTheme="minorEastAsia"/>
                <w:sz w:val="21"/>
                <w:szCs w:val="21"/>
              </w:rPr>
              <w:t>监测仪器</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1B077651">
            <w:pPr>
              <w:pStyle w:val="20"/>
              <w:kinsoku w:val="0"/>
              <w:overflowPunct w:val="0"/>
              <w:spacing w:before="37"/>
              <w:jc w:val="center"/>
              <w:rPr>
                <w:rFonts w:hint="default" w:asciiTheme="minorEastAsia" w:hAnsiTheme="minorEastAsia" w:eastAsiaTheme="minorEastAsia"/>
                <w:sz w:val="21"/>
                <w:szCs w:val="21"/>
              </w:rPr>
            </w:pPr>
            <w:r>
              <w:rPr>
                <w:rFonts w:asciiTheme="minorEastAsia" w:hAnsiTheme="minorEastAsia" w:eastAsiaTheme="minorEastAsia"/>
                <w:sz w:val="21"/>
                <w:szCs w:val="21"/>
              </w:rPr>
              <w:t>仪器要求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484395DF">
            <w:pPr>
              <w:pStyle w:val="20"/>
              <w:kinsoku w:val="0"/>
              <w:overflowPunct w:val="0"/>
              <w:spacing w:before="37"/>
              <w:jc w:val="center"/>
              <w:rPr>
                <w:rFonts w:hint="default" w:asciiTheme="minorEastAsia" w:hAnsiTheme="minorEastAsia" w:eastAsiaTheme="minorEastAsia"/>
                <w:sz w:val="21"/>
                <w:szCs w:val="21"/>
              </w:rPr>
            </w:pPr>
            <w:r>
              <w:rPr>
                <w:rFonts w:asciiTheme="minorEastAsia" w:hAnsiTheme="minorEastAsia" w:eastAsiaTheme="minorEastAsia"/>
                <w:sz w:val="21"/>
                <w:szCs w:val="21"/>
              </w:rPr>
              <w:t>质控仪器</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4A89B308">
            <w:pPr>
              <w:pStyle w:val="20"/>
              <w:kinsoku w:val="0"/>
              <w:overflowPunct w:val="0"/>
              <w:spacing w:before="37"/>
              <w:jc w:val="center"/>
              <w:rPr>
                <w:rFonts w:hint="default" w:asciiTheme="minorEastAsia" w:hAnsiTheme="minorEastAsia" w:eastAsiaTheme="minorEastAsia"/>
                <w:sz w:val="21"/>
                <w:szCs w:val="21"/>
              </w:rPr>
            </w:pPr>
            <w:r>
              <w:rPr>
                <w:rFonts w:asciiTheme="minorEastAsia" w:hAnsiTheme="minorEastAsia" w:eastAsiaTheme="minorEastAsia"/>
                <w:sz w:val="21"/>
                <w:szCs w:val="21"/>
              </w:rPr>
              <w:t>频次</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2A043BF1">
            <w:pPr>
              <w:pStyle w:val="20"/>
              <w:kinsoku w:val="0"/>
              <w:overflowPunct w:val="0"/>
              <w:spacing w:before="37"/>
              <w:jc w:val="center"/>
              <w:rPr>
                <w:rFonts w:hint="default" w:asciiTheme="minorEastAsia" w:hAnsiTheme="minorEastAsia" w:eastAsiaTheme="minorEastAsia"/>
                <w:sz w:val="21"/>
                <w:szCs w:val="21"/>
              </w:rPr>
            </w:pPr>
            <w:r>
              <w:rPr>
                <w:rFonts w:asciiTheme="minorEastAsia" w:hAnsiTheme="minorEastAsia" w:eastAsiaTheme="minorEastAsia"/>
                <w:sz w:val="21"/>
                <w:szCs w:val="21"/>
              </w:rPr>
              <w:t>内部校准要求</w:t>
            </w:r>
          </w:p>
        </w:tc>
      </w:tr>
      <w:tr w14:paraId="2B2EFC20">
        <w:tblPrEx>
          <w:tblCellMar>
            <w:top w:w="0" w:type="dxa"/>
            <w:left w:w="108" w:type="dxa"/>
            <w:bottom w:w="0" w:type="dxa"/>
            <w:right w:w="108" w:type="dxa"/>
          </w:tblCellMar>
        </w:tblPrEx>
        <w:trPr>
          <w:trHeight w:val="821" w:hRule="atLeast"/>
        </w:trPr>
        <w:tc>
          <w:tcPr>
            <w:tcW w:w="407"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0B7CB28">
            <w:pPr>
              <w:pStyle w:val="20"/>
              <w:kinsoku w:val="0"/>
              <w:overflowPunct w:val="0"/>
              <w:spacing w:before="36"/>
              <w:jc w:val="center"/>
              <w:rPr>
                <w:rFonts w:hint="default" w:asciiTheme="minorEastAsia" w:hAnsiTheme="minorEastAsia" w:eastAsiaTheme="minorEastAsia"/>
                <w:w w:val="95"/>
                <w:sz w:val="21"/>
                <w:szCs w:val="21"/>
              </w:rPr>
            </w:pPr>
            <w:r>
              <w:rPr>
                <w:rFonts w:asciiTheme="minorEastAsia" w:hAnsiTheme="minorEastAsia" w:eastAsiaTheme="minorEastAsia"/>
                <w:sz w:val="21"/>
                <w:szCs w:val="21"/>
              </w:rPr>
              <w:t>教室环境卫生监测</w:t>
            </w: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4E619578">
            <w:pPr>
              <w:pStyle w:val="20"/>
              <w:kinsoku w:val="0"/>
              <w:overflowPunct w:val="0"/>
              <w:spacing w:before="151"/>
              <w:rPr>
                <w:rFonts w:hint="default" w:asciiTheme="minorEastAsia" w:hAnsiTheme="minorEastAsia" w:eastAsiaTheme="minorEastAsia"/>
                <w:sz w:val="21"/>
                <w:szCs w:val="21"/>
              </w:rPr>
            </w:pPr>
            <w:r>
              <w:rPr>
                <w:rFonts w:asciiTheme="minorEastAsia" w:hAnsiTheme="minorEastAsia" w:eastAsiaTheme="minorEastAsia"/>
                <w:sz w:val="21"/>
                <w:szCs w:val="21"/>
              </w:rPr>
              <w:t>手持式激光测距仪</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27C1821F">
            <w:pPr>
              <w:pStyle w:val="20"/>
              <w:kinsoku w:val="0"/>
              <w:overflowPunct w:val="0"/>
              <w:spacing w:before="151"/>
              <w:rPr>
                <w:rFonts w:hint="default" w:asciiTheme="minorEastAsia" w:hAnsiTheme="minorEastAsia" w:eastAsiaTheme="minorEastAsia"/>
                <w:sz w:val="21"/>
                <w:szCs w:val="21"/>
              </w:rPr>
            </w:pPr>
            <w:r>
              <w:rPr>
                <w:rFonts w:asciiTheme="minorEastAsia" w:hAnsiTheme="minorEastAsia" w:eastAsiaTheme="minorEastAsia"/>
                <w:sz w:val="21"/>
                <w:szCs w:val="21"/>
              </w:rPr>
              <w:t>符合 JJG 966 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01054FF7">
            <w:pPr>
              <w:pStyle w:val="20"/>
              <w:kinsoku w:val="0"/>
              <w:overflowPunct w:val="0"/>
              <w:spacing w:before="151"/>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17BE68ED">
            <w:pPr>
              <w:pStyle w:val="20"/>
              <w:kinsoku w:val="0"/>
              <w:overflowPunct w:val="0"/>
              <w:spacing w:before="151"/>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21D77B66">
            <w:pPr>
              <w:pStyle w:val="20"/>
              <w:kinsoku w:val="0"/>
              <w:overflowPunct w:val="0"/>
              <w:spacing w:before="151"/>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r>
      <w:tr w14:paraId="64944C76">
        <w:tblPrEx>
          <w:tblCellMar>
            <w:top w:w="0" w:type="dxa"/>
            <w:left w:w="108" w:type="dxa"/>
            <w:bottom w:w="0" w:type="dxa"/>
            <w:right w:w="108" w:type="dxa"/>
          </w:tblCellMar>
        </w:tblPrEx>
        <w:trPr>
          <w:trHeight w:val="555" w:hRule="atLeast"/>
        </w:trPr>
        <w:tc>
          <w:tcPr>
            <w:tcW w:w="407" w:type="pct"/>
            <w:vMerge w:val="continue"/>
            <w:tcBorders>
              <w:top w:val="nil"/>
              <w:left w:val="single" w:color="000000" w:sz="4" w:space="0"/>
              <w:bottom w:val="single" w:color="000000" w:sz="4" w:space="0"/>
              <w:right w:val="single" w:color="000000" w:sz="4" w:space="0"/>
              <w:tl2br w:val="nil"/>
              <w:tr2bl w:val="nil"/>
            </w:tcBorders>
            <w:vAlign w:val="center"/>
          </w:tcPr>
          <w:p w14:paraId="369F5898">
            <w:pPr>
              <w:pStyle w:val="12"/>
              <w:tabs>
                <w:tab w:val="left" w:pos="2138"/>
              </w:tabs>
              <w:kinsoku w:val="0"/>
              <w:overflowPunct w:val="0"/>
              <w:spacing w:before="154"/>
              <w:jc w:val="center"/>
              <w:rPr>
                <w:rFonts w:hint="default" w:asciiTheme="minorEastAsia" w:hAnsiTheme="minorEastAsia" w:eastAsiaTheme="minorEastAsia"/>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3CECB513">
            <w:pPr>
              <w:pStyle w:val="20"/>
              <w:kinsoku w:val="0"/>
              <w:overflowPunct w:val="0"/>
              <w:spacing w:before="150"/>
              <w:rPr>
                <w:rFonts w:hint="default" w:asciiTheme="minorEastAsia" w:hAnsiTheme="minorEastAsia" w:eastAsiaTheme="minorEastAsia"/>
                <w:sz w:val="21"/>
                <w:szCs w:val="21"/>
              </w:rPr>
            </w:pPr>
            <w:r>
              <w:rPr>
                <w:rFonts w:asciiTheme="minorEastAsia" w:hAnsiTheme="minorEastAsia" w:eastAsiaTheme="minorEastAsia"/>
                <w:sz w:val="21"/>
                <w:szCs w:val="21"/>
              </w:rPr>
              <w:t>照度计</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2A3D7211">
            <w:pPr>
              <w:pStyle w:val="20"/>
              <w:kinsoku w:val="0"/>
              <w:overflowPunct w:val="0"/>
              <w:spacing w:before="150"/>
              <w:rPr>
                <w:rFonts w:hint="default" w:asciiTheme="minorEastAsia" w:hAnsiTheme="minorEastAsia" w:eastAsiaTheme="minorEastAsia"/>
                <w:sz w:val="21"/>
                <w:szCs w:val="21"/>
              </w:rPr>
            </w:pPr>
            <w:r>
              <w:rPr>
                <w:rFonts w:asciiTheme="minorEastAsia" w:hAnsiTheme="minorEastAsia" w:eastAsiaTheme="minorEastAsia"/>
                <w:sz w:val="21"/>
                <w:szCs w:val="21"/>
              </w:rPr>
              <w:t>符合 GB/T 5700 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2B8AD0C1">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44ECDB0B">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46816963">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r>
      <w:tr w14:paraId="6A5DF2A3">
        <w:tblPrEx>
          <w:tblCellMar>
            <w:top w:w="0" w:type="dxa"/>
            <w:left w:w="108" w:type="dxa"/>
            <w:bottom w:w="0" w:type="dxa"/>
            <w:right w:w="108" w:type="dxa"/>
          </w:tblCellMar>
        </w:tblPrEx>
        <w:trPr>
          <w:trHeight w:val="639" w:hRule="atLeast"/>
        </w:trPr>
        <w:tc>
          <w:tcPr>
            <w:tcW w:w="407" w:type="pct"/>
            <w:vMerge w:val="continue"/>
            <w:tcBorders>
              <w:top w:val="nil"/>
              <w:left w:val="single" w:color="000000" w:sz="4" w:space="0"/>
              <w:bottom w:val="single" w:color="000000" w:sz="4" w:space="0"/>
              <w:right w:val="single" w:color="000000" w:sz="4" w:space="0"/>
              <w:tl2br w:val="nil"/>
              <w:tr2bl w:val="nil"/>
            </w:tcBorders>
            <w:vAlign w:val="center"/>
          </w:tcPr>
          <w:p w14:paraId="21F05672">
            <w:pPr>
              <w:pStyle w:val="12"/>
              <w:tabs>
                <w:tab w:val="left" w:pos="2138"/>
              </w:tabs>
              <w:kinsoku w:val="0"/>
              <w:overflowPunct w:val="0"/>
              <w:spacing w:before="154"/>
              <w:jc w:val="center"/>
              <w:rPr>
                <w:rFonts w:hint="default" w:asciiTheme="minorEastAsia" w:hAnsiTheme="minorEastAsia" w:eastAsiaTheme="minorEastAsia"/>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1E3159D9">
            <w:pPr>
              <w:pStyle w:val="20"/>
              <w:kinsoku w:val="0"/>
              <w:overflowPunct w:val="0"/>
              <w:spacing w:before="36"/>
              <w:rPr>
                <w:rFonts w:hint="default" w:asciiTheme="minorEastAsia" w:hAnsiTheme="minorEastAsia" w:eastAsiaTheme="minorEastAsia"/>
                <w:sz w:val="21"/>
                <w:szCs w:val="21"/>
              </w:rPr>
            </w:pPr>
            <w:r>
              <w:rPr>
                <w:rFonts w:asciiTheme="minorEastAsia" w:hAnsiTheme="minorEastAsia" w:eastAsiaTheme="minorEastAsia"/>
                <w:sz w:val="21"/>
                <w:szCs w:val="21"/>
              </w:rPr>
              <w:t>课桌椅测量尺/普通测量尺</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13BF14CE">
            <w:pPr>
              <w:pStyle w:val="20"/>
              <w:kinsoku w:val="0"/>
              <w:overflowPunct w:val="0"/>
              <w:rPr>
                <w:rFonts w:hint="default" w:asciiTheme="minorEastAsia" w:hAnsiTheme="minorEastAsia" w:eastAsiaTheme="minorEastAsia"/>
                <w:sz w:val="21"/>
                <w:szCs w:val="21"/>
              </w:rPr>
            </w:pPr>
            <w:r>
              <w:rPr>
                <w:rFonts w:asciiTheme="minorEastAsia" w:hAnsiTheme="minorEastAsia" w:eastAsiaTheme="minorEastAsia"/>
                <w:sz w:val="21"/>
                <w:szCs w:val="21"/>
              </w:rPr>
              <w:t>满足 GB/T 3976 需求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2F1FC57E">
            <w:pPr>
              <w:pStyle w:val="20"/>
              <w:kinsoku w:val="0"/>
              <w:overflowPunct w:val="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53A42CDE">
            <w:pPr>
              <w:pStyle w:val="20"/>
              <w:kinsoku w:val="0"/>
              <w:overflowPunct w:val="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32EAB0EE">
            <w:pPr>
              <w:pStyle w:val="20"/>
              <w:kinsoku w:val="0"/>
              <w:overflowPunct w:val="0"/>
              <w:jc w:val="center"/>
              <w:rPr>
                <w:rFonts w:hint="default" w:asciiTheme="minorEastAsia" w:hAnsiTheme="minorEastAsia" w:eastAsiaTheme="minorEastAsia"/>
                <w:sz w:val="21"/>
                <w:szCs w:val="21"/>
              </w:rPr>
            </w:pPr>
          </w:p>
          <w:p w14:paraId="20A8B9FE">
            <w:pPr>
              <w:pStyle w:val="20"/>
              <w:kinsoku w:val="0"/>
              <w:overflowPunct w:val="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r>
      <w:tr w14:paraId="5AF72846">
        <w:tblPrEx>
          <w:tblCellMar>
            <w:top w:w="0" w:type="dxa"/>
            <w:left w:w="108" w:type="dxa"/>
            <w:bottom w:w="0" w:type="dxa"/>
            <w:right w:w="108" w:type="dxa"/>
          </w:tblCellMar>
        </w:tblPrEx>
        <w:trPr>
          <w:trHeight w:val="950" w:hRule="atLeast"/>
        </w:trPr>
        <w:tc>
          <w:tcPr>
            <w:tcW w:w="407" w:type="pct"/>
            <w:vMerge w:val="continue"/>
            <w:tcBorders>
              <w:top w:val="nil"/>
              <w:left w:val="single" w:color="000000" w:sz="4" w:space="0"/>
              <w:bottom w:val="single" w:color="000000" w:sz="4" w:space="0"/>
              <w:right w:val="single" w:color="000000" w:sz="4" w:space="0"/>
              <w:tl2br w:val="nil"/>
              <w:tr2bl w:val="nil"/>
            </w:tcBorders>
            <w:vAlign w:val="center"/>
          </w:tcPr>
          <w:p w14:paraId="61BBABAF">
            <w:pPr>
              <w:pStyle w:val="12"/>
              <w:tabs>
                <w:tab w:val="left" w:pos="2138"/>
              </w:tabs>
              <w:kinsoku w:val="0"/>
              <w:overflowPunct w:val="0"/>
              <w:spacing w:before="154"/>
              <w:jc w:val="center"/>
              <w:rPr>
                <w:rFonts w:hint="default" w:asciiTheme="minorEastAsia" w:hAnsiTheme="minorEastAsia" w:eastAsiaTheme="minorEastAsia"/>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7388E76C">
            <w:pPr>
              <w:pStyle w:val="20"/>
              <w:kinsoku w:val="0"/>
              <w:overflowPunct w:val="0"/>
              <w:rPr>
                <w:rFonts w:hint="default" w:asciiTheme="minorEastAsia" w:hAnsiTheme="minorEastAsia" w:eastAsiaTheme="minorEastAsia"/>
                <w:sz w:val="21"/>
                <w:szCs w:val="21"/>
                <w:highlight w:val="none"/>
              </w:rPr>
            </w:pPr>
            <w:r>
              <w:rPr>
                <w:rFonts w:asciiTheme="minorEastAsia" w:hAnsiTheme="minorEastAsia" w:eastAsiaTheme="minorEastAsia"/>
                <w:sz w:val="21"/>
                <w:szCs w:val="21"/>
                <w:highlight w:val="none"/>
              </w:rPr>
              <w:t>数字声级计</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5AEA9EDB">
            <w:pPr>
              <w:pStyle w:val="20"/>
              <w:kinsoku w:val="0"/>
              <w:overflowPunct w:val="0"/>
              <w:rPr>
                <w:rFonts w:hint="default" w:asciiTheme="minorEastAsia" w:hAnsiTheme="minorEastAsia" w:eastAsiaTheme="minorEastAsia"/>
                <w:spacing w:val="-26"/>
                <w:sz w:val="21"/>
                <w:szCs w:val="21"/>
                <w:highlight w:val="none"/>
              </w:rPr>
            </w:pPr>
            <w:r>
              <w:rPr>
                <w:rFonts w:asciiTheme="minorEastAsia" w:hAnsiTheme="minorEastAsia" w:eastAsiaTheme="minorEastAsia"/>
                <w:spacing w:val="15"/>
                <w:sz w:val="21"/>
                <w:szCs w:val="21"/>
                <w:highlight w:val="none"/>
              </w:rPr>
              <w:t>符合</w:t>
            </w:r>
            <w:r>
              <w:rPr>
                <w:rFonts w:asciiTheme="minorEastAsia" w:hAnsiTheme="minorEastAsia" w:eastAsiaTheme="minorEastAsia"/>
                <w:sz w:val="21"/>
                <w:szCs w:val="21"/>
                <w:highlight w:val="none"/>
              </w:rPr>
              <w:t>GB/T</w:t>
            </w:r>
            <w:r>
              <w:rPr>
                <w:rFonts w:asciiTheme="minorEastAsia" w:hAnsiTheme="minorEastAsia" w:eastAsiaTheme="minorEastAsia"/>
                <w:spacing w:val="-59"/>
                <w:sz w:val="21"/>
                <w:szCs w:val="21"/>
                <w:highlight w:val="none"/>
              </w:rPr>
              <w:t xml:space="preserve"> </w:t>
            </w:r>
            <w:r>
              <w:rPr>
                <w:rFonts w:asciiTheme="minorEastAsia" w:hAnsiTheme="minorEastAsia" w:eastAsiaTheme="minorEastAsia"/>
                <w:sz w:val="21"/>
                <w:szCs w:val="21"/>
                <w:highlight w:val="none"/>
              </w:rPr>
              <w:t>18204.1</w:t>
            </w:r>
            <w:r>
              <w:rPr>
                <w:rFonts w:asciiTheme="minorEastAsia" w:hAnsiTheme="minorEastAsia" w:eastAsiaTheme="minorEastAsia"/>
                <w:spacing w:val="-26"/>
                <w:sz w:val="21"/>
                <w:szCs w:val="21"/>
                <w:highlight w:val="none"/>
              </w:rPr>
              <w:t xml:space="preserve"> 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47F7BFC2">
            <w:pPr>
              <w:pStyle w:val="20"/>
              <w:kinsoku w:val="0"/>
              <w:overflowPunct w:val="0"/>
              <w:jc w:val="center"/>
              <w:rPr>
                <w:rFonts w:hint="default" w:asciiTheme="minorEastAsia" w:hAnsiTheme="minorEastAsia" w:eastAsiaTheme="minorEastAsia"/>
                <w:sz w:val="21"/>
                <w:szCs w:val="21"/>
                <w:highlight w:val="none"/>
              </w:rPr>
            </w:pPr>
            <w:r>
              <w:rPr>
                <w:rFonts w:asciiTheme="minorEastAsia" w:hAnsiTheme="minorEastAsia" w:eastAsiaTheme="minorEastAsia"/>
                <w:sz w:val="21"/>
                <w:szCs w:val="21"/>
                <w:highlight w:val="none"/>
              </w:rPr>
              <w:t>声校准器</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54250C47">
            <w:pPr>
              <w:pStyle w:val="20"/>
              <w:kinsoku w:val="0"/>
              <w:overflowPunct w:val="0"/>
              <w:jc w:val="center"/>
              <w:rPr>
                <w:rFonts w:hint="default" w:asciiTheme="minorEastAsia" w:hAnsiTheme="minorEastAsia" w:eastAsiaTheme="minorEastAsia"/>
                <w:sz w:val="21"/>
                <w:szCs w:val="21"/>
                <w:highlight w:val="none"/>
              </w:rPr>
            </w:pPr>
            <w:r>
              <w:rPr>
                <w:rFonts w:asciiTheme="minorEastAsia" w:hAnsiTheme="minorEastAsia" w:eastAsiaTheme="minorEastAsia"/>
                <w:sz w:val="21"/>
                <w:szCs w:val="21"/>
                <w:highlight w:val="none"/>
              </w:rPr>
              <w:t>定期</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2F40C8E4">
            <w:pPr>
              <w:pStyle w:val="20"/>
              <w:kinsoku w:val="0"/>
              <w:overflowPunct w:val="0"/>
              <w:spacing w:before="151"/>
              <w:rPr>
                <w:rFonts w:hint="default" w:asciiTheme="minorEastAsia" w:hAnsiTheme="minorEastAsia" w:eastAsiaTheme="minorEastAsia"/>
                <w:sz w:val="21"/>
                <w:szCs w:val="21"/>
                <w:highlight w:val="none"/>
              </w:rPr>
            </w:pPr>
            <w:r>
              <w:rPr>
                <w:rFonts w:asciiTheme="minorEastAsia" w:hAnsiTheme="minorEastAsia" w:eastAsiaTheme="minorEastAsia"/>
                <w:sz w:val="21"/>
                <w:szCs w:val="21"/>
                <w:highlight w:val="none"/>
              </w:rPr>
              <w:t>声校准</w:t>
            </w:r>
            <w:r>
              <w:rPr>
                <w:rFonts w:hint="eastAsia" w:asciiTheme="minorEastAsia" w:hAnsiTheme="minorEastAsia" w:eastAsiaTheme="minorEastAsia"/>
                <w:sz w:val="21"/>
                <w:szCs w:val="21"/>
                <w:highlight w:val="none"/>
                <w:lang w:eastAsia="zh-CN"/>
              </w:rPr>
              <w:t>器对</w:t>
            </w:r>
            <w:r>
              <w:rPr>
                <w:rFonts w:asciiTheme="minorEastAsia" w:hAnsiTheme="minorEastAsia" w:eastAsiaTheme="minorEastAsia"/>
                <w:sz w:val="21"/>
                <w:szCs w:val="21"/>
                <w:highlight w:val="none"/>
              </w:rPr>
              <w:t xml:space="preserve"> 94dB 声强度信号进行校准，示值偏差不得大于 0.5dB</w:t>
            </w:r>
          </w:p>
        </w:tc>
      </w:tr>
      <w:tr w14:paraId="6A6127AB">
        <w:tblPrEx>
          <w:tblCellMar>
            <w:top w:w="0" w:type="dxa"/>
            <w:left w:w="108" w:type="dxa"/>
            <w:bottom w:w="0" w:type="dxa"/>
            <w:right w:w="108" w:type="dxa"/>
          </w:tblCellMar>
        </w:tblPrEx>
        <w:trPr>
          <w:trHeight w:val="1887" w:hRule="atLeast"/>
        </w:trPr>
        <w:tc>
          <w:tcPr>
            <w:tcW w:w="407" w:type="pct"/>
            <w:vMerge w:val="continue"/>
            <w:tcBorders>
              <w:top w:val="nil"/>
              <w:left w:val="single" w:color="000000" w:sz="4" w:space="0"/>
              <w:bottom w:val="single" w:color="000000" w:sz="4" w:space="0"/>
              <w:right w:val="single" w:color="000000" w:sz="4" w:space="0"/>
              <w:tl2br w:val="nil"/>
              <w:tr2bl w:val="nil"/>
            </w:tcBorders>
            <w:vAlign w:val="center"/>
          </w:tcPr>
          <w:p w14:paraId="79176D83">
            <w:pPr>
              <w:pStyle w:val="12"/>
              <w:tabs>
                <w:tab w:val="left" w:pos="2138"/>
              </w:tabs>
              <w:kinsoku w:val="0"/>
              <w:overflowPunct w:val="0"/>
              <w:spacing w:before="154"/>
              <w:jc w:val="center"/>
              <w:rPr>
                <w:rFonts w:hint="default" w:asciiTheme="minorEastAsia" w:hAnsiTheme="minorEastAsia" w:eastAsiaTheme="minorEastAsia"/>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4F971683">
            <w:pPr>
              <w:pStyle w:val="20"/>
              <w:kinsoku w:val="0"/>
              <w:overflowPunct w:val="0"/>
              <w:spacing w:before="36"/>
              <w:rPr>
                <w:rFonts w:hint="default" w:asciiTheme="minorEastAsia" w:hAnsiTheme="minorEastAsia" w:eastAsiaTheme="minorEastAsia"/>
                <w:sz w:val="21"/>
                <w:szCs w:val="21"/>
              </w:rPr>
            </w:pPr>
            <w:r>
              <w:rPr>
                <w:rFonts w:asciiTheme="minorEastAsia" w:hAnsiTheme="minorEastAsia" w:eastAsiaTheme="minorEastAsia"/>
                <w:sz w:val="21"/>
                <w:szCs w:val="21"/>
              </w:rPr>
              <w:t>二氧化碳红外线气体检测仪</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6D0B9F38">
            <w:pPr>
              <w:pStyle w:val="20"/>
              <w:kinsoku w:val="0"/>
              <w:overflowPunct w:val="0"/>
              <w:rPr>
                <w:rFonts w:hint="default" w:asciiTheme="minorEastAsia" w:hAnsiTheme="minorEastAsia" w:eastAsiaTheme="minorEastAsia"/>
                <w:sz w:val="21"/>
                <w:szCs w:val="21"/>
              </w:rPr>
            </w:pPr>
            <w:r>
              <w:rPr>
                <w:rFonts w:asciiTheme="minorEastAsia" w:hAnsiTheme="minorEastAsia" w:eastAsiaTheme="minorEastAsia"/>
                <w:sz w:val="21"/>
                <w:szCs w:val="21"/>
              </w:rPr>
              <w:t>符合 JJG 635 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4ABE9263">
            <w:pPr>
              <w:pStyle w:val="20"/>
              <w:kinsoku w:val="0"/>
              <w:overflowPunct w:val="0"/>
              <w:spacing w:before="36"/>
              <w:jc w:val="center"/>
              <w:rPr>
                <w:rFonts w:hint="default" w:asciiTheme="minorEastAsia" w:hAnsiTheme="minorEastAsia" w:eastAsiaTheme="minorEastAsia"/>
                <w:sz w:val="21"/>
                <w:szCs w:val="21"/>
              </w:rPr>
            </w:pPr>
            <w:r>
              <w:rPr>
                <w:rFonts w:asciiTheme="minorEastAsia" w:hAnsiTheme="minorEastAsia" w:eastAsiaTheme="minorEastAsia"/>
                <w:sz w:val="21"/>
                <w:szCs w:val="21"/>
              </w:rPr>
              <w:t>二氧化碳标准气</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58C5B2B8">
            <w:pPr>
              <w:pStyle w:val="20"/>
              <w:kinsoku w:val="0"/>
              <w:overflowPunct w:val="0"/>
              <w:jc w:val="center"/>
              <w:rPr>
                <w:rFonts w:hint="default" w:asciiTheme="minorEastAsia" w:hAnsiTheme="minorEastAsia" w:eastAsiaTheme="minorEastAsia"/>
                <w:sz w:val="21"/>
                <w:szCs w:val="21"/>
              </w:rPr>
            </w:pPr>
            <w:r>
              <w:rPr>
                <w:rFonts w:asciiTheme="minorEastAsia" w:hAnsiTheme="minorEastAsia" w:eastAsiaTheme="minorEastAsia"/>
                <w:sz w:val="21"/>
                <w:szCs w:val="21"/>
              </w:rPr>
              <w:t>定期</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432AD037">
            <w:pPr>
              <w:pStyle w:val="20"/>
              <w:kinsoku w:val="0"/>
              <w:overflowPunct w:val="0"/>
              <w:spacing w:before="36"/>
              <w:rPr>
                <w:rFonts w:hint="default" w:asciiTheme="minorEastAsia" w:hAnsiTheme="minorEastAsia" w:eastAsiaTheme="minorEastAsia"/>
                <w:sz w:val="21"/>
                <w:szCs w:val="21"/>
              </w:rPr>
            </w:pPr>
            <w:r>
              <w:rPr>
                <w:rFonts w:asciiTheme="minorEastAsia" w:hAnsiTheme="minorEastAsia" w:eastAsiaTheme="minorEastAsia"/>
                <w:sz w:val="21"/>
                <w:szCs w:val="21"/>
              </w:rPr>
              <w:t>空气经干燥管和烧碱石棉过滤管后，进行零点校准；用二氧化碳标准气连接在仪器进样口，进行终点刻度校准，零点与终点校准2</w:t>
            </w:r>
            <w:r>
              <w:rPr>
                <w:rFonts w:hint="eastAsia" w:asciiTheme="minorEastAsia" w:hAnsiTheme="minorEastAsia" w:eastAsiaTheme="minorEastAsia"/>
                <w:sz w:val="21"/>
                <w:szCs w:val="21"/>
                <w:lang w:eastAsia="zh-CN"/>
              </w:rPr>
              <w:t>—</w:t>
            </w:r>
            <w:r>
              <w:rPr>
                <w:rFonts w:asciiTheme="minorEastAsia" w:hAnsiTheme="minorEastAsia" w:eastAsiaTheme="minorEastAsia"/>
                <w:sz w:val="21"/>
                <w:szCs w:val="21"/>
              </w:rPr>
              <w:t>3次</w:t>
            </w:r>
          </w:p>
        </w:tc>
      </w:tr>
      <w:tr w14:paraId="6879341A">
        <w:tblPrEx>
          <w:tblCellMar>
            <w:top w:w="0" w:type="dxa"/>
            <w:left w:w="108" w:type="dxa"/>
            <w:bottom w:w="0" w:type="dxa"/>
            <w:right w:w="108" w:type="dxa"/>
          </w:tblCellMar>
        </w:tblPrEx>
        <w:trPr>
          <w:trHeight w:val="555" w:hRule="atLeast"/>
        </w:trPr>
        <w:tc>
          <w:tcPr>
            <w:tcW w:w="407" w:type="pct"/>
            <w:vMerge w:val="continue"/>
            <w:tcBorders>
              <w:top w:val="nil"/>
              <w:left w:val="single" w:color="000000" w:sz="4" w:space="0"/>
              <w:bottom w:val="single" w:color="000000" w:sz="4" w:space="0"/>
              <w:right w:val="single" w:color="000000" w:sz="4" w:space="0"/>
              <w:tl2br w:val="nil"/>
              <w:tr2bl w:val="nil"/>
            </w:tcBorders>
            <w:vAlign w:val="center"/>
          </w:tcPr>
          <w:p w14:paraId="5AA750A8">
            <w:pPr>
              <w:pStyle w:val="12"/>
              <w:tabs>
                <w:tab w:val="left" w:pos="2138"/>
              </w:tabs>
              <w:kinsoku w:val="0"/>
              <w:overflowPunct w:val="0"/>
              <w:spacing w:before="154"/>
              <w:jc w:val="center"/>
              <w:rPr>
                <w:rFonts w:hint="default" w:asciiTheme="minorEastAsia" w:hAnsiTheme="minorEastAsia" w:eastAsiaTheme="minorEastAsia"/>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6CE9B278">
            <w:pPr>
              <w:pStyle w:val="20"/>
              <w:kinsoku w:val="0"/>
              <w:overflowPunct w:val="0"/>
              <w:spacing w:before="150"/>
              <w:rPr>
                <w:rFonts w:hint="default" w:asciiTheme="minorEastAsia" w:hAnsiTheme="minorEastAsia" w:eastAsiaTheme="minorEastAsia"/>
                <w:sz w:val="21"/>
                <w:szCs w:val="21"/>
              </w:rPr>
            </w:pPr>
            <w:r>
              <w:rPr>
                <w:rFonts w:asciiTheme="minorEastAsia" w:hAnsiTheme="minorEastAsia" w:eastAsiaTheme="minorEastAsia"/>
                <w:sz w:val="21"/>
                <w:szCs w:val="21"/>
              </w:rPr>
              <w:t>温湿度计</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43051C22">
            <w:pPr>
              <w:pStyle w:val="20"/>
              <w:kinsoku w:val="0"/>
              <w:overflowPunct w:val="0"/>
              <w:spacing w:before="150"/>
              <w:rPr>
                <w:rFonts w:hint="default" w:asciiTheme="minorEastAsia" w:hAnsiTheme="minorEastAsia" w:eastAsiaTheme="minorEastAsia"/>
                <w:sz w:val="21"/>
                <w:szCs w:val="21"/>
              </w:rPr>
            </w:pPr>
            <w:r>
              <w:rPr>
                <w:rFonts w:asciiTheme="minorEastAsia" w:hAnsiTheme="minorEastAsia" w:eastAsiaTheme="minorEastAsia"/>
                <w:sz w:val="21"/>
                <w:szCs w:val="21"/>
              </w:rPr>
              <w:t>符合 GB/T 17225 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17F86F7A">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4D457BBA">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32CF777C">
            <w:pPr>
              <w:pStyle w:val="20"/>
              <w:kinsoku w:val="0"/>
              <w:overflowPunct w:val="0"/>
              <w:spacing w:before="150"/>
              <w:rPr>
                <w:rFonts w:hint="default" w:asciiTheme="minorEastAsia" w:hAnsiTheme="minorEastAsia" w:eastAsiaTheme="minorEastAsia"/>
                <w:sz w:val="21"/>
                <w:szCs w:val="21"/>
              </w:rPr>
            </w:pPr>
            <w:r>
              <w:rPr>
                <w:rFonts w:asciiTheme="minorEastAsia" w:hAnsiTheme="minorEastAsia" w:eastAsiaTheme="minorEastAsia"/>
                <w:sz w:val="21"/>
                <w:szCs w:val="21"/>
              </w:rPr>
              <w:t>定期比对</w:t>
            </w:r>
          </w:p>
        </w:tc>
      </w:tr>
      <w:tr w14:paraId="57339EEA">
        <w:tblPrEx>
          <w:tblCellMar>
            <w:top w:w="0" w:type="dxa"/>
            <w:left w:w="108" w:type="dxa"/>
            <w:bottom w:w="0" w:type="dxa"/>
            <w:right w:w="108" w:type="dxa"/>
          </w:tblCellMar>
        </w:tblPrEx>
        <w:trPr>
          <w:trHeight w:val="555" w:hRule="atLeast"/>
        </w:trPr>
        <w:tc>
          <w:tcPr>
            <w:tcW w:w="407" w:type="pct"/>
            <w:vMerge w:val="continue"/>
            <w:tcBorders>
              <w:top w:val="nil"/>
              <w:left w:val="single" w:color="000000" w:sz="4" w:space="0"/>
              <w:bottom w:val="single" w:color="000000" w:sz="4" w:space="0"/>
              <w:right w:val="single" w:color="000000" w:sz="4" w:space="0"/>
              <w:tl2br w:val="nil"/>
              <w:tr2bl w:val="nil"/>
            </w:tcBorders>
            <w:vAlign w:val="center"/>
          </w:tcPr>
          <w:p w14:paraId="62D9C429">
            <w:pPr>
              <w:pStyle w:val="12"/>
              <w:tabs>
                <w:tab w:val="left" w:pos="2138"/>
              </w:tabs>
              <w:kinsoku w:val="0"/>
              <w:overflowPunct w:val="0"/>
              <w:spacing w:before="154"/>
              <w:jc w:val="center"/>
              <w:rPr>
                <w:rFonts w:hint="default" w:asciiTheme="minorEastAsia" w:hAnsiTheme="minorEastAsia" w:eastAsiaTheme="minorEastAsia"/>
                <w:szCs w:val="21"/>
              </w:rPr>
            </w:pPr>
          </w:p>
        </w:tc>
        <w:tc>
          <w:tcPr>
            <w:tcW w:w="843" w:type="pct"/>
            <w:tcBorders>
              <w:top w:val="single" w:color="000000" w:sz="4" w:space="0"/>
              <w:left w:val="single" w:color="000000" w:sz="4" w:space="0"/>
              <w:bottom w:val="single" w:color="000000" w:sz="4" w:space="0"/>
              <w:right w:val="single" w:color="000000" w:sz="4" w:space="0"/>
              <w:tl2br w:val="nil"/>
              <w:tr2bl w:val="nil"/>
            </w:tcBorders>
            <w:vAlign w:val="center"/>
          </w:tcPr>
          <w:p w14:paraId="1E5C57A1">
            <w:pPr>
              <w:pStyle w:val="20"/>
              <w:kinsoku w:val="0"/>
              <w:overflowPunct w:val="0"/>
              <w:spacing w:before="150"/>
              <w:rPr>
                <w:rFonts w:hint="default" w:asciiTheme="minorEastAsia" w:hAnsiTheme="minorEastAsia" w:eastAsiaTheme="minorEastAsia"/>
                <w:sz w:val="21"/>
                <w:szCs w:val="21"/>
              </w:rPr>
            </w:pPr>
            <w:r>
              <w:rPr>
                <w:rFonts w:asciiTheme="minorEastAsia" w:hAnsiTheme="minorEastAsia" w:eastAsiaTheme="minorEastAsia"/>
                <w:sz w:val="21"/>
                <w:szCs w:val="21"/>
              </w:rPr>
              <w:t>风速仪</w:t>
            </w:r>
          </w:p>
        </w:tc>
        <w:tc>
          <w:tcPr>
            <w:tcW w:w="739" w:type="pct"/>
            <w:tcBorders>
              <w:top w:val="single" w:color="000000" w:sz="4" w:space="0"/>
              <w:left w:val="single" w:color="000000" w:sz="4" w:space="0"/>
              <w:bottom w:val="single" w:color="000000" w:sz="4" w:space="0"/>
              <w:right w:val="single" w:color="000000" w:sz="4" w:space="0"/>
              <w:tl2br w:val="nil"/>
              <w:tr2bl w:val="nil"/>
            </w:tcBorders>
            <w:vAlign w:val="center"/>
          </w:tcPr>
          <w:p w14:paraId="2FBE35C8">
            <w:pPr>
              <w:pStyle w:val="20"/>
              <w:kinsoku w:val="0"/>
              <w:overflowPunct w:val="0"/>
              <w:spacing w:before="150"/>
              <w:rPr>
                <w:rFonts w:hint="default" w:asciiTheme="minorEastAsia" w:hAnsiTheme="minorEastAsia" w:eastAsiaTheme="minorEastAsia"/>
                <w:spacing w:val="-26"/>
                <w:sz w:val="21"/>
                <w:szCs w:val="21"/>
              </w:rPr>
            </w:pPr>
            <w:r>
              <w:rPr>
                <w:rFonts w:asciiTheme="minorEastAsia" w:hAnsiTheme="minorEastAsia" w:eastAsiaTheme="minorEastAsia"/>
                <w:spacing w:val="15"/>
                <w:sz w:val="21"/>
                <w:szCs w:val="21"/>
              </w:rPr>
              <w:t>符合</w:t>
            </w:r>
            <w:r>
              <w:rPr>
                <w:rFonts w:asciiTheme="minorEastAsia" w:hAnsiTheme="minorEastAsia" w:eastAsiaTheme="minorEastAsia"/>
                <w:sz w:val="21"/>
                <w:szCs w:val="21"/>
              </w:rPr>
              <w:t>GB/T</w:t>
            </w:r>
            <w:r>
              <w:rPr>
                <w:rFonts w:asciiTheme="minorEastAsia" w:hAnsiTheme="minorEastAsia" w:eastAsiaTheme="minorEastAsia"/>
                <w:spacing w:val="-59"/>
                <w:sz w:val="21"/>
                <w:szCs w:val="21"/>
              </w:rPr>
              <w:t xml:space="preserve"> </w:t>
            </w:r>
            <w:r>
              <w:rPr>
                <w:rFonts w:asciiTheme="minorEastAsia" w:hAnsiTheme="minorEastAsia" w:eastAsiaTheme="minorEastAsia"/>
                <w:sz w:val="21"/>
                <w:szCs w:val="21"/>
              </w:rPr>
              <w:t>18204.1</w:t>
            </w:r>
            <w:r>
              <w:rPr>
                <w:rFonts w:asciiTheme="minorEastAsia" w:hAnsiTheme="minorEastAsia" w:eastAsiaTheme="minorEastAsia"/>
                <w:spacing w:val="-26"/>
                <w:sz w:val="21"/>
                <w:szCs w:val="21"/>
              </w:rPr>
              <w:t xml:space="preserve"> 要求</w:t>
            </w:r>
          </w:p>
        </w:tc>
        <w:tc>
          <w:tcPr>
            <w:tcW w:w="450" w:type="pct"/>
            <w:tcBorders>
              <w:top w:val="single" w:color="000000" w:sz="4" w:space="0"/>
              <w:left w:val="single" w:color="000000" w:sz="4" w:space="0"/>
              <w:bottom w:val="single" w:color="000000" w:sz="4" w:space="0"/>
              <w:right w:val="single" w:color="000000" w:sz="4" w:space="0"/>
              <w:tl2br w:val="nil"/>
              <w:tr2bl w:val="nil"/>
            </w:tcBorders>
            <w:vAlign w:val="center"/>
          </w:tcPr>
          <w:p w14:paraId="2FD4BD51">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406" w:type="pct"/>
            <w:tcBorders>
              <w:top w:val="single" w:color="000000" w:sz="4" w:space="0"/>
              <w:left w:val="single" w:color="000000" w:sz="4" w:space="0"/>
              <w:bottom w:val="single" w:color="000000" w:sz="4" w:space="0"/>
              <w:right w:val="single" w:color="000000" w:sz="4" w:space="0"/>
              <w:tl2br w:val="nil"/>
              <w:tr2bl w:val="nil"/>
            </w:tcBorders>
            <w:vAlign w:val="center"/>
          </w:tcPr>
          <w:p w14:paraId="4F59A6BF">
            <w:pPr>
              <w:pStyle w:val="20"/>
              <w:kinsoku w:val="0"/>
              <w:overflowPunct w:val="0"/>
              <w:spacing w:before="150"/>
              <w:jc w:val="center"/>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c>
          <w:tcPr>
            <w:tcW w:w="2152" w:type="pct"/>
            <w:tcBorders>
              <w:top w:val="single" w:color="000000" w:sz="4" w:space="0"/>
              <w:left w:val="single" w:color="000000" w:sz="4" w:space="0"/>
              <w:bottom w:val="single" w:color="000000" w:sz="4" w:space="0"/>
              <w:right w:val="single" w:color="000000" w:sz="4" w:space="0"/>
              <w:tl2br w:val="nil"/>
              <w:tr2bl w:val="nil"/>
            </w:tcBorders>
            <w:vAlign w:val="center"/>
          </w:tcPr>
          <w:p w14:paraId="6B038D67">
            <w:pPr>
              <w:pStyle w:val="20"/>
              <w:kinsoku w:val="0"/>
              <w:overflowPunct w:val="0"/>
              <w:spacing w:before="150"/>
              <w:rPr>
                <w:rFonts w:hint="default" w:asciiTheme="minorEastAsia" w:hAnsiTheme="minorEastAsia" w:eastAsiaTheme="minorEastAsia"/>
                <w:w w:val="99"/>
                <w:sz w:val="21"/>
                <w:szCs w:val="21"/>
              </w:rPr>
            </w:pPr>
            <w:r>
              <w:rPr>
                <w:rFonts w:asciiTheme="minorEastAsia" w:hAnsiTheme="minorEastAsia" w:eastAsiaTheme="minorEastAsia"/>
                <w:w w:val="99"/>
                <w:sz w:val="21"/>
                <w:szCs w:val="21"/>
              </w:rPr>
              <w:t>-</w:t>
            </w:r>
          </w:p>
        </w:tc>
      </w:tr>
    </w:tbl>
    <w:p w14:paraId="4E84C396">
      <w:pPr>
        <w:pStyle w:val="12"/>
        <w:tabs>
          <w:tab w:val="left" w:pos="2138"/>
        </w:tabs>
        <w:kinsoku w:val="0"/>
        <w:overflowPunct w:val="0"/>
        <w:spacing w:before="154"/>
        <w:jc w:val="center"/>
        <w:rPr>
          <w:rFonts w:hint="default" w:ascii="黑体" w:hAnsi="黑体" w:eastAsia="黑体"/>
        </w:rPr>
      </w:pPr>
      <w:r>
        <w:rPr>
          <w:rFonts w:ascii="黑体" w:hAnsi="黑体" w:eastAsia="黑体"/>
        </w:rPr>
        <w:t>表</w:t>
      </w:r>
      <w:r>
        <w:rPr>
          <w:rFonts w:ascii="黑体" w:hAnsi="黑体" w:eastAsia="黑体"/>
          <w:spacing w:val="-54"/>
        </w:rPr>
        <w:t xml:space="preserve"> </w:t>
      </w:r>
      <w:r>
        <w:rPr>
          <w:rFonts w:ascii="黑体" w:hAnsi="黑体" w:eastAsia="黑体"/>
        </w:rPr>
        <w:t>A.1 监测仪器内部校准要求（续）</w:t>
      </w:r>
    </w:p>
    <w:p w14:paraId="056BAF75">
      <w:pPr>
        <w:jc w:val="center"/>
        <w:rPr>
          <w:rFonts w:hint="default" w:ascii="黑体" w:hAnsi="黑体" w:eastAsia="黑体"/>
          <w:sz w:val="21"/>
        </w:rPr>
      </w:pPr>
      <w:r>
        <w:rPr>
          <w:rFonts w:ascii="黑体" w:hAnsi="黑体" w:eastAsia="黑体"/>
          <w:sz w:val="21"/>
        </w:rPr>
        <w:br w:type="page"/>
      </w:r>
      <w:r>
        <w:rPr>
          <w:rFonts w:ascii="黑体" w:hAnsi="黑体" w:eastAsia="黑体"/>
          <w:sz w:val="21"/>
        </w:rPr>
        <w:t>附</w:t>
      </w:r>
      <w:r>
        <w:rPr>
          <w:rFonts w:ascii="黑体" w:hAnsi="黑体" w:eastAsia="黑体"/>
          <w:sz w:val="21"/>
        </w:rPr>
        <w:tab/>
      </w:r>
      <w:r>
        <w:rPr>
          <w:rFonts w:ascii="黑体" w:hAnsi="黑体" w:eastAsia="黑体"/>
          <w:sz w:val="21"/>
        </w:rPr>
        <w:t>录</w:t>
      </w:r>
      <w:r>
        <w:rPr>
          <w:rFonts w:ascii="黑体" w:hAnsi="黑体" w:eastAsia="黑体"/>
          <w:sz w:val="21"/>
        </w:rPr>
        <w:tab/>
      </w:r>
      <w:r>
        <w:rPr>
          <w:rFonts w:ascii="黑体" w:hAnsi="黑体" w:eastAsia="黑体"/>
          <w:sz w:val="21"/>
        </w:rPr>
        <w:t>B</w:t>
      </w:r>
    </w:p>
    <w:p w14:paraId="4D4A25DF">
      <w:pPr>
        <w:pStyle w:val="12"/>
        <w:kinsoku w:val="0"/>
        <w:overflowPunct w:val="0"/>
        <w:jc w:val="center"/>
        <w:rPr>
          <w:rFonts w:hint="default" w:ascii="黑体" w:hAnsi="黑体" w:eastAsia="黑体"/>
        </w:rPr>
      </w:pPr>
      <w:r>
        <w:rPr>
          <w:rFonts w:ascii="黑体" w:hAnsi="黑体" w:eastAsia="黑体"/>
          <w:w w:val="95"/>
        </w:rPr>
        <w:t xml:space="preserve">（资料性） </w:t>
      </w:r>
      <w:r>
        <w:rPr>
          <w:rFonts w:ascii="黑体" w:hAnsi="黑体" w:eastAsia="黑体"/>
        </w:rPr>
        <w:t>复测</w:t>
      </w:r>
    </w:p>
    <w:p w14:paraId="230EA6C5">
      <w:pPr>
        <w:pStyle w:val="19"/>
        <w:tabs>
          <w:tab w:val="left" w:pos="743"/>
          <w:tab w:val="left" w:pos="744"/>
        </w:tabs>
        <w:kinsoku w:val="0"/>
        <w:overflowPunct w:val="0"/>
        <w:ind w:left="0"/>
        <w:rPr>
          <w:rFonts w:hint="default" w:ascii="黑体" w:hAnsi="黑体" w:eastAsia="黑体"/>
          <w:sz w:val="21"/>
          <w:szCs w:val="21"/>
        </w:rPr>
      </w:pPr>
      <w:bookmarkStart w:id="1" w:name="B.1__身高体重复测"/>
      <w:bookmarkEnd w:id="1"/>
    </w:p>
    <w:p w14:paraId="4D410DC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20" w:after="120" w:line="288" w:lineRule="auto"/>
        <w:ind w:left="0" w:leftChars="0" w:firstLine="0" w:firstLineChars="0"/>
        <w:jc w:val="both"/>
        <w:textAlignment w:val="auto"/>
        <w:rPr>
          <w:rFonts w:hint="eastAsia" w:ascii="黑体" w:hAnsi="黑体" w:eastAsia="黑体" w:cs="黑体"/>
          <w:sz w:val="21"/>
          <w:szCs w:val="21"/>
        </w:rPr>
      </w:pPr>
      <w:r>
        <w:rPr>
          <w:rFonts w:hint="eastAsia" w:ascii="黑体" w:hAnsi="黑体" w:eastAsia="黑体" w:cs="黑体"/>
          <w:sz w:val="21"/>
          <w:szCs w:val="21"/>
        </w:rPr>
        <w:t>B.1 身高</w:t>
      </w:r>
      <w:r>
        <w:rPr>
          <w:rFonts w:hint="eastAsia" w:cs="黑体"/>
          <w:sz w:val="21"/>
          <w:szCs w:val="21"/>
          <w:lang w:val="en-US" w:eastAsia="zh-CN"/>
        </w:rPr>
        <w:t>及</w:t>
      </w:r>
      <w:r>
        <w:rPr>
          <w:rFonts w:hint="eastAsia" w:ascii="黑体" w:hAnsi="黑体" w:eastAsia="黑体" w:cs="黑体"/>
          <w:sz w:val="21"/>
          <w:szCs w:val="21"/>
        </w:rPr>
        <w:t>体重复测</w:t>
      </w:r>
    </w:p>
    <w:p w14:paraId="4FB33496">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B.1.1</w:t>
      </w:r>
      <w:r>
        <w:rPr>
          <w:rFonts w:hint="eastAsia"/>
          <w:sz w:val="21"/>
          <w:szCs w:val="21"/>
        </w:rPr>
        <w:t xml:space="preserve"> 身高、体重每日复测人数均应不小于当天样本</w:t>
      </w:r>
      <w:r>
        <w:rPr>
          <w:rFonts w:hint="default" w:ascii="Times New Roman" w:hAnsi="Times New Roman" w:cs="Times New Roman"/>
          <w:sz w:val="21"/>
          <w:szCs w:val="21"/>
        </w:rPr>
        <w:t>数的5%。</w:t>
      </w:r>
      <w:r>
        <w:rPr>
          <w:rFonts w:hint="eastAsia"/>
          <w:sz w:val="21"/>
          <w:szCs w:val="21"/>
        </w:rPr>
        <w:t>应采用现场随机抽样复查的方法。</w:t>
      </w:r>
    </w:p>
    <w:p w14:paraId="171DA53C">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 xml:space="preserve">B.1.2 </w:t>
      </w:r>
      <w:r>
        <w:rPr>
          <w:rFonts w:hint="eastAsia"/>
          <w:sz w:val="21"/>
          <w:szCs w:val="21"/>
        </w:rPr>
        <w:t>宜选择已完成全部测量的儿童青少年立刻进行复测，应核实复测儿童青少年未在首测后排空大小便或进食、大量喝水。</w:t>
      </w:r>
    </w:p>
    <w:p w14:paraId="6CBD9618">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B.1.3</w:t>
      </w:r>
      <w:r>
        <w:rPr>
          <w:rFonts w:hint="eastAsia"/>
          <w:sz w:val="21"/>
          <w:szCs w:val="21"/>
        </w:rPr>
        <w:t xml:space="preserve"> 应收回原记录表，发放空白复测记录表，登记儿童青少年基本信息，由原检测人员按原来的检测程序和方法复测。</w:t>
      </w:r>
    </w:p>
    <w:p w14:paraId="5AD77DA1">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B.1.4</w:t>
      </w:r>
      <w:r>
        <w:rPr>
          <w:rFonts w:hint="eastAsia"/>
          <w:sz w:val="21"/>
          <w:szCs w:val="21"/>
        </w:rPr>
        <w:t xml:space="preserve"> 复测后应将复测结果抄录入复测结果表，与原测记录对照后计算误差发生率。</w:t>
      </w:r>
    </w:p>
    <w:p w14:paraId="5187A670">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eastAsia" w:ascii="黑体" w:hAnsi="黑体" w:eastAsia="黑体" w:cs="黑体"/>
          <w:sz w:val="21"/>
          <w:szCs w:val="21"/>
        </w:rPr>
        <w:t>B.1.5</w:t>
      </w:r>
      <w:r>
        <w:rPr>
          <w:rFonts w:hint="eastAsia"/>
          <w:sz w:val="21"/>
          <w:szCs w:val="21"/>
        </w:rPr>
        <w:t xml:space="preserve"> 身高测量误差的允许</w:t>
      </w:r>
      <w:r>
        <w:rPr>
          <w:rFonts w:hint="default" w:ascii="Times New Roman" w:hAnsi="Times New Roman" w:cs="Times New Roman"/>
          <w:sz w:val="21"/>
          <w:szCs w:val="21"/>
        </w:rPr>
        <w:t>范围是≤0.5cm；体重测量误差的允许范围是≤0.1kg。超过误差允许范围应记录并纳入误差发生率 P 值，计算见式（1）：</w:t>
      </w:r>
    </w:p>
    <w:p w14:paraId="27AA0BED">
      <w:pPr>
        <w:keepNext w:val="0"/>
        <w:keepLines w:val="0"/>
        <w:pageBreakBefore w:val="0"/>
        <w:widowControl w:val="0"/>
        <w:kinsoku/>
        <w:wordWrap/>
        <w:overflowPunct/>
        <w:topLinePunct w:val="0"/>
        <w:autoSpaceDE w:val="0"/>
        <w:autoSpaceDN w:val="0"/>
        <w:bidi w:val="0"/>
        <w:adjustRightInd w:val="0"/>
        <w:spacing w:line="288"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P =Σn/</w:t>
      </w:r>
      <w:r>
        <w:rPr>
          <w:rFonts w:hint="eastAsia" w:ascii="Times New Roman" w:hAnsi="Times New Roman" w:cs="Times New Roman"/>
          <w:sz w:val="21"/>
          <w:szCs w:val="21"/>
          <w:lang w:eastAsia="zh-CN"/>
        </w:rPr>
        <w:t>(</w:t>
      </w:r>
      <w:r>
        <w:rPr>
          <w:rFonts w:hint="default" w:ascii="Times New Roman" w:hAnsi="Times New Roman" w:cs="Times New Roman"/>
          <w:sz w:val="21"/>
          <w:szCs w:val="21"/>
        </w:rPr>
        <w:t>A×N</w:t>
      </w:r>
      <w:r>
        <w:rPr>
          <w:rFonts w:hint="eastAsia" w:ascii="Times New Roman" w:hAnsi="Times New Roman" w:cs="Times New Roman"/>
          <w:sz w:val="21"/>
          <w:szCs w:val="21"/>
          <w:lang w:eastAsia="zh-CN"/>
        </w:rPr>
        <w:t>)</w:t>
      </w:r>
      <w:r>
        <w:rPr>
          <w:rFonts w:hint="default" w:ascii="Times New Roman" w:hAnsi="Times New Roman" w:cs="Times New Roman"/>
          <w:sz w:val="21"/>
          <w:szCs w:val="21"/>
        </w:rPr>
        <w:t>×100%...................................................(B.1)</w:t>
      </w:r>
    </w:p>
    <w:p w14:paraId="5536ABAD">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式中：</w:t>
      </w:r>
    </w:p>
    <w:p w14:paraId="512BF36D">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P——误差发生率；</w:t>
      </w:r>
    </w:p>
    <w:p w14:paraId="3B80EC4C">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Σn——复测数中检测误差超过允许范围的项次数的总和；</w:t>
      </w:r>
    </w:p>
    <w:p w14:paraId="7DA24AD8">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A——复测指标之和；</w:t>
      </w:r>
    </w:p>
    <w:p w14:paraId="33E0FDF0">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N——复测数。</w:t>
      </w:r>
    </w:p>
    <w:p w14:paraId="51C69569">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20" w:after="120" w:line="288" w:lineRule="auto"/>
        <w:ind w:left="0" w:leftChars="0" w:firstLine="0" w:firstLineChars="0"/>
        <w:jc w:val="both"/>
        <w:textAlignment w:val="auto"/>
        <w:rPr>
          <w:rFonts w:hint="eastAsia" w:ascii="黑体" w:hAnsi="黑体" w:eastAsia="黑体" w:cs="黑体"/>
          <w:sz w:val="21"/>
          <w:szCs w:val="21"/>
        </w:rPr>
      </w:pPr>
      <w:bookmarkStart w:id="2" w:name="B.2__远视力及屈光复测"/>
      <w:bookmarkEnd w:id="2"/>
      <w:r>
        <w:rPr>
          <w:rFonts w:hint="eastAsia" w:ascii="黑体" w:hAnsi="黑体" w:eastAsia="黑体" w:cs="黑体"/>
          <w:sz w:val="21"/>
          <w:szCs w:val="21"/>
        </w:rPr>
        <w:t>B.2 远视力及屈光复测</w:t>
      </w:r>
    </w:p>
    <w:p w14:paraId="009E33D8">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B.2.1</w:t>
      </w:r>
      <w:r>
        <w:rPr>
          <w:rFonts w:hint="eastAsia"/>
          <w:sz w:val="21"/>
          <w:szCs w:val="21"/>
        </w:rPr>
        <w:t xml:space="preserve"> 每日以随机方式抽取不少于当天检查样本数5%（不包括</w:t>
      </w:r>
      <w:r>
        <w:rPr>
          <w:rFonts w:hint="eastAsia"/>
          <w:sz w:val="21"/>
          <w:szCs w:val="21"/>
          <w:lang w:eastAsia="zh-CN"/>
        </w:rPr>
        <w:t>佩戴</w:t>
      </w:r>
      <w:r>
        <w:rPr>
          <w:rFonts w:hint="eastAsia"/>
          <w:sz w:val="21"/>
          <w:szCs w:val="21"/>
        </w:rPr>
        <w:t>角膜塑形镜者）的儿童青少年进行左右眼裸眼视力、戴镜视力、球镜和柱镜度数的复测。</w:t>
      </w:r>
    </w:p>
    <w:p w14:paraId="44133775">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B.2.2</w:t>
      </w:r>
      <w:r>
        <w:rPr>
          <w:rFonts w:hint="eastAsia"/>
          <w:sz w:val="21"/>
          <w:szCs w:val="21"/>
        </w:rPr>
        <w:t xml:space="preserve"> 应收回原记录表，发放空白复测记录表，登记儿童青少年基本信息，由原检测人员按原来的检测程序和方法复测。</w:t>
      </w:r>
    </w:p>
    <w:p w14:paraId="3DDD2F8F">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B.2.3</w:t>
      </w:r>
      <w:r>
        <w:rPr>
          <w:rFonts w:hint="eastAsia"/>
          <w:sz w:val="21"/>
          <w:szCs w:val="21"/>
        </w:rPr>
        <w:t xml:space="preserve"> 复测后将复测记录表与原测记录表对比。分别计算原测和复测的等效球镜度数（球镜度数加上1/2 柱镜度数）、左右眼裸眼视力、戴镜视力的差值即为两次检测误差。</w:t>
      </w:r>
    </w:p>
    <w:p w14:paraId="478965B1">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ascii="黑体" w:hAnsi="黑体" w:eastAsia="黑体" w:cs="黑体"/>
          <w:sz w:val="21"/>
          <w:szCs w:val="21"/>
        </w:rPr>
        <w:t xml:space="preserve">B.2.4 </w:t>
      </w:r>
      <w:r>
        <w:rPr>
          <w:rFonts w:hint="eastAsia"/>
          <w:sz w:val="21"/>
          <w:szCs w:val="21"/>
        </w:rPr>
        <w:t>裸眼和戴镜视力误差允许范围</w:t>
      </w:r>
      <w:r>
        <w:rPr>
          <w:rFonts w:hint="default" w:ascii="Times New Roman" w:hAnsi="Times New Roman" w:cs="Times New Roman"/>
          <w:sz w:val="21"/>
          <w:szCs w:val="21"/>
        </w:rPr>
        <w:t>为不超过±1行，等效球镜度数误差绝对值≤0.50D。超过误差允许范围应记录并纳入误差发生率 P 值，计算见式（2）：</w:t>
      </w:r>
    </w:p>
    <w:p w14:paraId="44A9DE4B">
      <w:pPr>
        <w:keepNext w:val="0"/>
        <w:keepLines w:val="0"/>
        <w:pageBreakBefore w:val="0"/>
        <w:widowControl w:val="0"/>
        <w:kinsoku/>
        <w:wordWrap/>
        <w:overflowPunct/>
        <w:topLinePunct w:val="0"/>
        <w:autoSpaceDE w:val="0"/>
        <w:autoSpaceDN w:val="0"/>
        <w:bidi w:val="0"/>
        <w:adjustRightInd w:val="0"/>
        <w:spacing w:line="288"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P =Σn/</w:t>
      </w:r>
      <w:r>
        <w:rPr>
          <w:rFonts w:hint="eastAsia" w:ascii="Times New Roman" w:hAnsi="Times New Roman" w:cs="Times New Roman"/>
          <w:sz w:val="21"/>
          <w:szCs w:val="21"/>
          <w:lang w:eastAsia="zh-CN"/>
        </w:rPr>
        <w:t>(</w:t>
      </w:r>
      <w:r>
        <w:rPr>
          <w:rFonts w:hint="default" w:ascii="Times New Roman" w:hAnsi="Times New Roman" w:cs="Times New Roman"/>
          <w:sz w:val="21"/>
          <w:szCs w:val="21"/>
        </w:rPr>
        <w:t>A1×N1+ A2×N2</w:t>
      </w:r>
      <w:r>
        <w:rPr>
          <w:rFonts w:hint="eastAsia" w:ascii="Times New Roman" w:hAnsi="Times New Roman" w:cs="Times New Roman"/>
          <w:sz w:val="21"/>
          <w:szCs w:val="21"/>
          <w:lang w:eastAsia="zh-CN"/>
        </w:rPr>
        <w:t>)</w:t>
      </w:r>
      <w:r>
        <w:rPr>
          <w:rFonts w:hint="default" w:ascii="Times New Roman" w:hAnsi="Times New Roman" w:cs="Times New Roman"/>
          <w:sz w:val="21"/>
          <w:szCs w:val="21"/>
        </w:rPr>
        <w:t>×100%..................................(B.2)</w:t>
      </w:r>
    </w:p>
    <w:p w14:paraId="28EC93A8">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eastAsia"/>
          <w:sz w:val="21"/>
          <w:szCs w:val="21"/>
        </w:rPr>
        <w:t>式中：</w:t>
      </w:r>
    </w:p>
    <w:p w14:paraId="2F0524A2">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bookmarkStart w:id="3" w:name="B.3__误差发生率的判定与处理"/>
      <w:bookmarkEnd w:id="3"/>
      <w:r>
        <w:rPr>
          <w:rFonts w:hint="default" w:ascii="Times New Roman" w:hAnsi="Times New Roman" w:cs="Times New Roman"/>
          <w:i/>
          <w:iCs/>
          <w:sz w:val="21"/>
          <w:szCs w:val="21"/>
        </w:rPr>
        <w:t>P</w:t>
      </w:r>
      <w:r>
        <w:rPr>
          <w:rFonts w:hint="default" w:ascii="Times New Roman" w:hAnsi="Times New Roman" w:cs="Times New Roman"/>
          <w:sz w:val="21"/>
          <w:szCs w:val="21"/>
        </w:rPr>
        <w:t>——误差发生率；</w:t>
      </w:r>
    </w:p>
    <w:p w14:paraId="0BDBDF6A">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Σn——复测数中检测误差超过允许范围的项次数的总和；</w:t>
      </w:r>
    </w:p>
    <w:p w14:paraId="07DF7241">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A1——戴镜复测指标数的总和（包括左右眼裸眼视力、左右眼戴镜视力、左右眼等效球镜度数共 6项）；</w:t>
      </w:r>
    </w:p>
    <w:p w14:paraId="57FD454F">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N1——戴镜复测记录表人数；</w:t>
      </w:r>
    </w:p>
    <w:p w14:paraId="2E29E176">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A2——非戴镜复测指标数的总和（包括左右眼裸眼视力、左右眼等效球镜度数共4项）；</w:t>
      </w:r>
    </w:p>
    <w:p w14:paraId="6EB26147">
      <w:pPr>
        <w:keepNext w:val="0"/>
        <w:keepLines w:val="0"/>
        <w:pageBreakBefore w:val="0"/>
        <w:widowControl w:val="0"/>
        <w:kinsoku/>
        <w:wordWrap/>
        <w:overflowPunct/>
        <w:topLinePunct w:val="0"/>
        <w:autoSpaceDE w:val="0"/>
        <w:autoSpaceDN w:val="0"/>
        <w:bidi w:val="0"/>
        <w:adjustRightInd w:val="0"/>
        <w:spacing w:line="288" w:lineRule="auto"/>
        <w:textAlignment w:val="auto"/>
        <w:rPr>
          <w:rFonts w:hint="eastAsia"/>
          <w:sz w:val="21"/>
          <w:szCs w:val="21"/>
        </w:rPr>
      </w:pPr>
      <w:r>
        <w:rPr>
          <w:rFonts w:hint="default" w:ascii="Times New Roman" w:hAnsi="Times New Roman" w:cs="Times New Roman"/>
          <w:sz w:val="21"/>
          <w:szCs w:val="21"/>
        </w:rPr>
        <w:t>N2——非</w:t>
      </w:r>
      <w:r>
        <w:rPr>
          <w:rFonts w:hint="eastAsia"/>
          <w:sz w:val="21"/>
          <w:szCs w:val="21"/>
        </w:rPr>
        <w:t>戴镜复测记录表人数。</w:t>
      </w:r>
    </w:p>
    <w:p w14:paraId="6E639FA1">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20" w:after="120" w:line="288" w:lineRule="auto"/>
        <w:ind w:left="0" w:leftChars="0" w:firstLine="0" w:firstLineChars="0"/>
        <w:jc w:val="both"/>
        <w:textAlignment w:val="auto"/>
        <w:rPr>
          <w:rFonts w:hint="eastAsia" w:ascii="黑体" w:hAnsi="黑体" w:eastAsia="黑体" w:cs="黑体"/>
          <w:sz w:val="21"/>
          <w:szCs w:val="21"/>
        </w:rPr>
      </w:pPr>
      <w:r>
        <w:rPr>
          <w:rFonts w:hint="eastAsia" w:ascii="黑体" w:hAnsi="黑体" w:eastAsia="黑体" w:cs="黑体"/>
          <w:sz w:val="21"/>
          <w:szCs w:val="21"/>
        </w:rPr>
        <w:t>B.3 误差发生率的判定与处理</w:t>
      </w:r>
    </w:p>
    <w:p w14:paraId="52B9ECA5">
      <w:pPr>
        <w:keepNext w:val="0"/>
        <w:keepLines w:val="0"/>
        <w:pageBreakBefore w:val="0"/>
        <w:widowControl w:val="0"/>
        <w:kinsoku/>
        <w:wordWrap/>
        <w:overflowPunct/>
        <w:topLinePunct w:val="0"/>
        <w:autoSpaceDE w:val="0"/>
        <w:autoSpaceDN w:val="0"/>
        <w:bidi w:val="0"/>
        <w:adjustRightInd w:val="0"/>
        <w:spacing w:line="288"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i/>
          <w:iCs/>
          <w:sz w:val="21"/>
          <w:szCs w:val="21"/>
        </w:rPr>
        <w:t>P</w:t>
      </w:r>
      <w:r>
        <w:rPr>
          <w:rFonts w:hint="default" w:ascii="Times New Roman" w:hAnsi="Times New Roman" w:cs="Times New Roman"/>
          <w:sz w:val="21"/>
          <w:szCs w:val="21"/>
        </w:rPr>
        <w:t>值应不超过5%。若 5%＜</w:t>
      </w:r>
      <w:r>
        <w:rPr>
          <w:rFonts w:hint="default" w:ascii="Times New Roman" w:hAnsi="Times New Roman" w:cs="Times New Roman"/>
          <w:i/>
          <w:iCs/>
          <w:sz w:val="21"/>
          <w:szCs w:val="21"/>
        </w:rPr>
        <w:t>P</w:t>
      </w:r>
      <w:r>
        <w:rPr>
          <w:rFonts w:hint="default" w:ascii="Times New Roman" w:hAnsi="Times New Roman" w:cs="Times New Roman"/>
          <w:sz w:val="21"/>
          <w:szCs w:val="21"/>
        </w:rPr>
        <w:t>≤10%时应查明原因，对超过允许误差范围的指标进行复测、改正。同时健康检查人员应及时改进，符合要求后方可继续。当</w:t>
      </w:r>
      <w:r>
        <w:rPr>
          <w:rFonts w:hint="default" w:ascii="Times New Roman" w:hAnsi="Times New Roman" w:cs="Times New Roman"/>
          <w:i/>
          <w:iCs/>
          <w:sz w:val="21"/>
          <w:szCs w:val="21"/>
        </w:rPr>
        <w:t>P</w:t>
      </w:r>
      <w:r>
        <w:rPr>
          <w:rFonts w:hint="default" w:ascii="Times New Roman" w:hAnsi="Times New Roman" w:cs="Times New Roman"/>
          <w:sz w:val="21"/>
          <w:szCs w:val="21"/>
        </w:rPr>
        <w:t>＞10%时，当日全部检测数据无效，必须重测；否则该日所测所有数据不能参加统计。</w:t>
      </w:r>
    </w:p>
    <w:p w14:paraId="53C8BC7E">
      <w:pPr>
        <w:pStyle w:val="2"/>
        <w:keepNext w:val="0"/>
        <w:keepLines w:val="0"/>
        <w:pageBreakBefore w:val="0"/>
        <w:widowControl w:val="0"/>
        <w:numPr>
          <w:ilvl w:val="0"/>
          <w:numId w:val="0"/>
        </w:numPr>
        <w:kinsoku/>
        <w:wordWrap/>
        <w:overflowPunct/>
        <w:topLinePunct w:val="0"/>
        <w:autoSpaceDE w:val="0"/>
        <w:autoSpaceDN w:val="0"/>
        <w:bidi w:val="0"/>
        <w:adjustRightInd w:val="0"/>
        <w:snapToGrid w:val="0"/>
        <w:spacing w:before="120" w:after="120" w:line="288" w:lineRule="auto"/>
        <w:ind w:left="0" w:leftChars="0" w:firstLine="0" w:firstLineChars="0"/>
        <w:jc w:val="both"/>
        <w:textAlignment w:val="auto"/>
        <w:rPr>
          <w:rFonts w:hint="eastAsia" w:ascii="黑体" w:hAnsi="黑体" w:eastAsia="黑体" w:cs="黑体"/>
          <w:sz w:val="21"/>
          <w:szCs w:val="21"/>
        </w:rPr>
      </w:pPr>
      <w:bookmarkStart w:id="4" w:name="B.4__复测档案"/>
      <w:bookmarkEnd w:id="4"/>
      <w:r>
        <w:rPr>
          <w:rFonts w:hint="eastAsia" w:ascii="黑体" w:hAnsi="黑体" w:eastAsia="黑体" w:cs="黑体"/>
          <w:sz w:val="21"/>
          <w:szCs w:val="21"/>
        </w:rPr>
        <w:t>B.4 复测档案</w:t>
      </w:r>
    </w:p>
    <w:p w14:paraId="0955F5CD">
      <w:pPr>
        <w:keepNext w:val="0"/>
        <w:keepLines w:val="0"/>
        <w:pageBreakBefore w:val="0"/>
        <w:widowControl w:val="0"/>
        <w:kinsoku/>
        <w:wordWrap/>
        <w:overflowPunct/>
        <w:topLinePunct w:val="0"/>
        <w:autoSpaceDE w:val="0"/>
        <w:autoSpaceDN w:val="0"/>
        <w:bidi w:val="0"/>
        <w:adjustRightInd w:val="0"/>
        <w:spacing w:line="288" w:lineRule="auto"/>
        <w:ind w:firstLine="420" w:firstLineChars="200"/>
        <w:textAlignment w:val="auto"/>
        <w:rPr>
          <w:rFonts w:hint="eastAsia"/>
          <w:sz w:val="21"/>
          <w:szCs w:val="21"/>
        </w:rPr>
      </w:pPr>
      <w:r>
        <w:rPr>
          <w:rFonts w:hint="eastAsia"/>
          <w:sz w:val="21"/>
          <w:szCs w:val="21"/>
        </w:rPr>
        <w:t>健康监测当日应由监测队伍组长和质控人员共同核对计算、签名，误差卡及复测记录表均应归入“复检复测记录档案”。</w:t>
      </w:r>
    </w:p>
    <w:sectPr>
      <w:pgSz w:w="11911" w:h="16838"/>
      <w:pgMar w:top="1440" w:right="1800" w:bottom="1440" w:left="1800" w:header="1451" w:footer="1140" w:gutter="0"/>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BE83">
    <w:pPr>
      <w:pStyle w:val="12"/>
      <w:kinsoku w:val="0"/>
      <w:overflowPunct w:val="0"/>
      <w:spacing w:beforeLines="0" w:afterLines="0" w:line="14" w:lineRule="auto"/>
      <w:rPr>
        <w:rFonts w:hint="default"/>
        <w:sz w:val="20"/>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CEB33">
    <w:pPr>
      <w:pStyle w:val="12"/>
      <w:kinsoku w:val="0"/>
      <w:overflowPunct w:val="0"/>
      <w:spacing w:beforeLines="0" w:afterLines="0" w:line="14" w:lineRule="auto"/>
      <w:rPr>
        <w:rFonts w:hint="default"/>
        <w:sz w:val="20"/>
        <w:szCs w:val="24"/>
      </w:rPr>
    </w:pPr>
  </w:p>
  <w:p w14:paraId="023D83EF">
    <w:pPr>
      <w:pStyle w:val="12"/>
      <w:kinsoku w:val="0"/>
      <w:overflowPunct w:val="0"/>
      <w:spacing w:beforeLines="0" w:afterLines="0" w:line="14" w:lineRule="auto"/>
      <w:rPr>
        <w:rFonts w:hint="default"/>
        <w:sz w:val="20"/>
        <w:szCs w:val="24"/>
      </w:rPr>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91E28">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591E28">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E53C9"/>
    <w:multiLevelType w:val="multilevel"/>
    <w:tmpl w:val="CFEE53C9"/>
    <w:lvl w:ilvl="0" w:tentative="0">
      <w:start w:val="1"/>
      <w:numFmt w:val="lowerLetter"/>
      <w:suff w:val="space"/>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E8631398"/>
    <w:multiLevelType w:val="multilevel"/>
    <w:tmpl w:val="E8631398"/>
    <w:lvl w:ilvl="0" w:tentative="0">
      <w:start w:val="1"/>
      <w:numFmt w:val="lowerLetter"/>
      <w:suff w:val="space"/>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EDA868B6"/>
    <w:multiLevelType w:val="multilevel"/>
    <w:tmpl w:val="EDA868B6"/>
    <w:lvl w:ilvl="0" w:tentative="0">
      <w:start w:val="1"/>
      <w:numFmt w:val="lowerLetter"/>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81CF33F"/>
    <w:multiLevelType w:val="multilevel"/>
    <w:tmpl w:val="181CF33F"/>
    <w:lvl w:ilvl="0" w:tentative="0">
      <w:start w:val="1"/>
      <w:numFmt w:val="lowerLetter"/>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1FD6FB0"/>
    <w:multiLevelType w:val="multilevel"/>
    <w:tmpl w:val="31FD6FB0"/>
    <w:lvl w:ilvl="0" w:tentative="0">
      <w:start w:val="1"/>
      <w:numFmt w:val="lowerLetter"/>
      <w:suff w:val="space"/>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36E23A04"/>
    <w:multiLevelType w:val="multilevel"/>
    <w:tmpl w:val="36E23A04"/>
    <w:lvl w:ilvl="0" w:tentative="0">
      <w:start w:val="1"/>
      <w:numFmt w:val="lowerLetter"/>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227FC18"/>
    <w:multiLevelType w:val="multilevel"/>
    <w:tmpl w:val="4227FC18"/>
    <w:lvl w:ilvl="0" w:tentative="0">
      <w:start w:val="1"/>
      <w:numFmt w:val="lowerLetter"/>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68EE084C"/>
    <w:multiLevelType w:val="multilevel"/>
    <w:tmpl w:val="68EE084C"/>
    <w:lvl w:ilvl="0" w:tentative="0">
      <w:start w:val="1"/>
      <w:numFmt w:val="decimal"/>
      <w:pStyle w:val="2"/>
      <w:suff w:val="space"/>
      <w:lvlText w:val="%1"/>
      <w:lvlJc w:val="left"/>
      <w:pPr>
        <w:ind w:left="0" w:firstLine="0"/>
      </w:pPr>
      <w:rPr>
        <w:rFonts w:hint="default" w:ascii="黑体" w:hAnsi="黑体" w:eastAsia="黑体" w:cs="黑体"/>
      </w:rPr>
    </w:lvl>
    <w:lvl w:ilvl="1" w:tentative="0">
      <w:start w:val="1"/>
      <w:numFmt w:val="decimal"/>
      <w:pStyle w:val="3"/>
      <w:suff w:val="nothing"/>
      <w:lvlText w:val="%2.1"/>
      <w:lvlJc w:val="left"/>
      <w:pPr>
        <w:ind w:left="0" w:firstLine="0"/>
      </w:pPr>
      <w:rPr>
        <w:rFonts w:hint="default"/>
      </w:rPr>
    </w:lvl>
    <w:lvl w:ilvl="2" w:tentative="0">
      <w:start w:val="1"/>
      <w:numFmt w:val="decimal"/>
      <w:pStyle w:val="4"/>
      <w:suff w:val="nothing"/>
      <w:lvlText w:val="%3.1.1"/>
      <w:lvlJc w:val="left"/>
      <w:pPr>
        <w:ind w:left="0" w:firstLine="400"/>
      </w:pPr>
      <w:rPr>
        <w:rFonts w:hint="default"/>
      </w:rPr>
    </w:lvl>
    <w:lvl w:ilvl="3" w:tentative="0">
      <w:start w:val="1"/>
      <w:numFmt w:val="decimal"/>
      <w:pStyle w:val="5"/>
      <w:suff w:val="nothing"/>
      <w:lvlText w:val="%4.1.1.1"/>
      <w:lvlJc w:val="left"/>
      <w:pPr>
        <w:ind w:left="0" w:firstLine="402"/>
      </w:pPr>
      <w:rPr>
        <w:rFonts w:hint="default"/>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8">
    <w:nsid w:val="7667A893"/>
    <w:multiLevelType w:val="multilevel"/>
    <w:tmpl w:val="7667A893"/>
    <w:lvl w:ilvl="0" w:tentative="0">
      <w:start w:val="1"/>
      <w:numFmt w:val="lowerLetter"/>
      <w:suff w:val="space"/>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7"/>
  </w:num>
  <w:num w:numId="2">
    <w:abstractNumId w:val="4"/>
  </w:num>
  <w:num w:numId="3">
    <w:abstractNumId w:val="3"/>
  </w:num>
  <w:num w:numId="4">
    <w:abstractNumId w:val="6"/>
  </w:num>
  <w:num w:numId="5">
    <w:abstractNumId w:val="8"/>
  </w:num>
  <w:num w:numId="6">
    <w:abstractNumId w:val="0"/>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revisionView w:markup="0"/>
  <w:documentProtection w:enforcement="0"/>
  <w:defaultTabStop w:val="420"/>
  <w:drawingGridHorizontalSpacing w:val="22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0NDkwNGQxYzc3M2Y0YzEzMjY3OThiMmI4YTE2ZmEifQ=="/>
  </w:docVars>
  <w:rsids>
    <w:rsidRoot w:val="00172A27"/>
    <w:rsid w:val="00070F2A"/>
    <w:rsid w:val="00172A27"/>
    <w:rsid w:val="001F4E49"/>
    <w:rsid w:val="004F4A09"/>
    <w:rsid w:val="00554971"/>
    <w:rsid w:val="00640978"/>
    <w:rsid w:val="007108D9"/>
    <w:rsid w:val="00845B35"/>
    <w:rsid w:val="00A9118B"/>
    <w:rsid w:val="00B80F81"/>
    <w:rsid w:val="00C379F6"/>
    <w:rsid w:val="00C40B40"/>
    <w:rsid w:val="00D06826"/>
    <w:rsid w:val="00D8604C"/>
    <w:rsid w:val="0137163E"/>
    <w:rsid w:val="0393184B"/>
    <w:rsid w:val="09574212"/>
    <w:rsid w:val="09710FEC"/>
    <w:rsid w:val="0BCF0AAA"/>
    <w:rsid w:val="119E6026"/>
    <w:rsid w:val="12001240"/>
    <w:rsid w:val="1433594E"/>
    <w:rsid w:val="161A6DC6"/>
    <w:rsid w:val="166415B8"/>
    <w:rsid w:val="16BA4105"/>
    <w:rsid w:val="17956DC5"/>
    <w:rsid w:val="181B501A"/>
    <w:rsid w:val="1A554870"/>
    <w:rsid w:val="1A583ED4"/>
    <w:rsid w:val="1B2D30F7"/>
    <w:rsid w:val="1C2E5379"/>
    <w:rsid w:val="1D8A2A83"/>
    <w:rsid w:val="20C0368A"/>
    <w:rsid w:val="212C2ED9"/>
    <w:rsid w:val="213D7C60"/>
    <w:rsid w:val="21E918D6"/>
    <w:rsid w:val="225059DA"/>
    <w:rsid w:val="25096983"/>
    <w:rsid w:val="26A5448A"/>
    <w:rsid w:val="27466BCE"/>
    <w:rsid w:val="28040B15"/>
    <w:rsid w:val="29CE3CF8"/>
    <w:rsid w:val="2A64465C"/>
    <w:rsid w:val="2C025EDA"/>
    <w:rsid w:val="2DCF003E"/>
    <w:rsid w:val="304A5935"/>
    <w:rsid w:val="32A160EE"/>
    <w:rsid w:val="32ED1034"/>
    <w:rsid w:val="35A818A1"/>
    <w:rsid w:val="36286DD8"/>
    <w:rsid w:val="3656754F"/>
    <w:rsid w:val="36DD557A"/>
    <w:rsid w:val="3A810912"/>
    <w:rsid w:val="3C0E61D6"/>
    <w:rsid w:val="3ECA2888"/>
    <w:rsid w:val="405C2867"/>
    <w:rsid w:val="42295B17"/>
    <w:rsid w:val="42B37AD7"/>
    <w:rsid w:val="4326474D"/>
    <w:rsid w:val="44511355"/>
    <w:rsid w:val="44651C40"/>
    <w:rsid w:val="45A905B9"/>
    <w:rsid w:val="46E644E0"/>
    <w:rsid w:val="46FD0FFA"/>
    <w:rsid w:val="47D504A2"/>
    <w:rsid w:val="47E90662"/>
    <w:rsid w:val="512457AF"/>
    <w:rsid w:val="555279F9"/>
    <w:rsid w:val="57B8376E"/>
    <w:rsid w:val="5C606182"/>
    <w:rsid w:val="5CFA6097"/>
    <w:rsid w:val="5E2D6537"/>
    <w:rsid w:val="62211F58"/>
    <w:rsid w:val="6239799B"/>
    <w:rsid w:val="62DD22DA"/>
    <w:rsid w:val="635A1B7D"/>
    <w:rsid w:val="6488096B"/>
    <w:rsid w:val="663A7A43"/>
    <w:rsid w:val="67A4786A"/>
    <w:rsid w:val="68566F7D"/>
    <w:rsid w:val="6A64510A"/>
    <w:rsid w:val="6A9B67CD"/>
    <w:rsid w:val="6AC36259"/>
    <w:rsid w:val="6AED097E"/>
    <w:rsid w:val="6C5B70C4"/>
    <w:rsid w:val="6CA87DFD"/>
    <w:rsid w:val="6CFC5A53"/>
    <w:rsid w:val="6DC20A4A"/>
    <w:rsid w:val="701150B6"/>
    <w:rsid w:val="70CC398E"/>
    <w:rsid w:val="7600591A"/>
    <w:rsid w:val="78177BE5"/>
    <w:rsid w:val="78B46B83"/>
    <w:rsid w:val="78EF13EB"/>
    <w:rsid w:val="792E3438"/>
    <w:rsid w:val="79B6581E"/>
    <w:rsid w:val="7A796935"/>
    <w:rsid w:val="7B2528B4"/>
    <w:rsid w:val="7BA43E85"/>
    <w:rsid w:val="7C343BD5"/>
    <w:rsid w:val="7CF14D41"/>
    <w:rsid w:val="7D293524"/>
    <w:rsid w:val="7DF3066F"/>
    <w:rsid w:val="7FD4460D"/>
    <w:rsid w:val="7FD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1"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1"/>
    <w:pPr>
      <w:widowControl w:val="0"/>
      <w:autoSpaceDE w:val="0"/>
      <w:autoSpaceDN w:val="0"/>
      <w:adjustRightInd w:val="0"/>
    </w:pPr>
    <w:rPr>
      <w:rFonts w:hint="eastAsia" w:ascii="宋体" w:hAnsi="宋体" w:eastAsia="宋体" w:cs="Times New Roman"/>
      <w:sz w:val="22"/>
      <w:szCs w:val="24"/>
      <w:lang w:val="en-US" w:eastAsia="zh-CN" w:bidi="ar-SA"/>
    </w:rPr>
  </w:style>
  <w:style w:type="paragraph" w:styleId="2">
    <w:name w:val="heading 1"/>
    <w:basedOn w:val="1"/>
    <w:unhideWhenUsed/>
    <w:qFormat/>
    <w:uiPriority w:val="1"/>
    <w:pPr>
      <w:numPr>
        <w:ilvl w:val="0"/>
        <w:numId w:val="1"/>
      </w:numPr>
      <w:spacing w:before="54"/>
      <w:outlineLvl w:val="0"/>
    </w:pPr>
    <w:rPr>
      <w:rFonts w:ascii="黑体" w:hAnsi="黑体" w:eastAsia="黑体"/>
      <w:sz w:val="32"/>
    </w:rPr>
  </w:style>
  <w:style w:type="paragraph" w:styleId="3">
    <w:name w:val="heading 2"/>
    <w:basedOn w:val="1"/>
    <w:next w:val="1"/>
    <w:semiHidden/>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style>
  <w:style w:type="paragraph" w:styleId="12">
    <w:name w:val="Body Text"/>
    <w:basedOn w:val="1"/>
    <w:unhideWhenUsed/>
    <w:qFormat/>
    <w:uiPriority w:val="1"/>
    <w:rPr>
      <w:sz w:val="21"/>
    </w:rPr>
  </w:style>
  <w:style w:type="paragraph" w:styleId="13">
    <w:name w:val="Balloon Text"/>
    <w:basedOn w:val="1"/>
    <w:link w:val="21"/>
    <w:qFormat/>
    <w:uiPriority w:val="0"/>
    <w:rPr>
      <w:sz w:val="18"/>
      <w:szCs w:val="18"/>
    </w:rPr>
  </w:style>
  <w:style w:type="paragraph" w:styleId="14">
    <w:name w:val="footer"/>
    <w:basedOn w:val="1"/>
    <w:link w:val="23"/>
    <w:qFormat/>
    <w:uiPriority w:val="0"/>
    <w:pPr>
      <w:tabs>
        <w:tab w:val="center" w:pos="4153"/>
        <w:tab w:val="right" w:pos="8306"/>
      </w:tabs>
      <w:snapToGrid w:val="0"/>
    </w:pPr>
    <w:rPr>
      <w:sz w:val="18"/>
      <w:szCs w:val="18"/>
    </w:rPr>
  </w:style>
  <w:style w:type="paragraph" w:styleId="15">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8">
    <w:name w:val="annotation reference"/>
    <w:basedOn w:val="17"/>
    <w:qFormat/>
    <w:uiPriority w:val="0"/>
    <w:rPr>
      <w:sz w:val="21"/>
      <w:szCs w:val="21"/>
    </w:rPr>
  </w:style>
  <w:style w:type="paragraph" w:styleId="19">
    <w:name w:val="List Paragraph"/>
    <w:basedOn w:val="1"/>
    <w:unhideWhenUsed/>
    <w:qFormat/>
    <w:uiPriority w:val="1"/>
    <w:pPr>
      <w:ind w:left="218"/>
    </w:pPr>
    <w:rPr>
      <w:sz w:val="24"/>
    </w:rPr>
  </w:style>
  <w:style w:type="paragraph" w:customStyle="1" w:styleId="20">
    <w:name w:val="Table Paragraph"/>
    <w:basedOn w:val="1"/>
    <w:unhideWhenUsed/>
    <w:qFormat/>
    <w:uiPriority w:val="1"/>
    <w:rPr>
      <w:sz w:val="24"/>
    </w:rPr>
  </w:style>
  <w:style w:type="character" w:customStyle="1" w:styleId="21">
    <w:name w:val="批注框文本 Char"/>
    <w:basedOn w:val="17"/>
    <w:link w:val="13"/>
    <w:qFormat/>
    <w:uiPriority w:val="0"/>
    <w:rPr>
      <w:rFonts w:ascii="宋体" w:hAnsi="宋体"/>
      <w:sz w:val="18"/>
      <w:szCs w:val="18"/>
    </w:rPr>
  </w:style>
  <w:style w:type="character" w:customStyle="1" w:styleId="22">
    <w:name w:val="页眉 Char"/>
    <w:basedOn w:val="17"/>
    <w:link w:val="15"/>
    <w:qFormat/>
    <w:uiPriority w:val="0"/>
    <w:rPr>
      <w:rFonts w:ascii="宋体" w:hAnsi="宋体"/>
      <w:sz w:val="18"/>
      <w:szCs w:val="18"/>
    </w:rPr>
  </w:style>
  <w:style w:type="character" w:customStyle="1" w:styleId="23">
    <w:name w:val="页脚 Char"/>
    <w:basedOn w:val="17"/>
    <w:link w:val="1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9199</Words>
  <Characters>11707</Characters>
  <Lines>86</Lines>
  <Paragraphs>24</Paragraphs>
  <TotalTime>0</TotalTime>
  <ScaleCrop>false</ScaleCrop>
  <LinksUpToDate>false</LinksUpToDate>
  <CharactersWithSpaces>12419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2024-03-18T05:19:00Z</dcterms:created>
  <dc:creator>丛龙娟</dc:creator>
  <cp:lastModifiedBy>孙宇欣</cp:lastModifiedBy>
  <cp:lastPrinted>2024-03-20T01:14:00Z</cp:lastPrinted>
  <dcterms:modified xsi:type="dcterms:W3CDTF">2026-04-24T07:19:17Z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1089AA34FC784DC9A9C443B866FC8CED_13</vt:lpwstr>
  </property>
  <property fmtid="{D5CDD505-2E9C-101B-9397-08002B2CF9AE}" pid="4" name="KSOTemplateDocerSaveRecord">
    <vt:lpwstr>eyJoZGlkIjoiMzEwNTM5NzYwMDRjMzkwZTVkZjY2ODkwMGIxNGU0OTUiLCJ1c2VySWQiOiIxNjU3NzE4MjUwIn0=</vt:lpwstr>
  </property>
</Properties>
</file>