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DAFBB">
      <w:pPr>
        <w:spacing w:line="360" w:lineRule="auto"/>
        <w:jc w:val="center"/>
        <w:rPr>
          <w:rFonts w:hint="eastAsia" w:ascii="Times New Roman" w:hAnsi="Times New Roman" w:eastAsia="方正小标宋简体" w:cs="方正小标宋简体"/>
          <w:sz w:val="32"/>
          <w:szCs w:val="32"/>
        </w:rPr>
      </w:pPr>
      <w:r>
        <w:rPr>
          <w:rFonts w:hint="eastAsia" w:ascii="Times New Roman" w:hAnsi="Times New Roman" w:eastAsia="方正小标宋简体" w:cs="方正小标宋简体"/>
          <w:sz w:val="32"/>
          <w:szCs w:val="32"/>
        </w:rPr>
        <w:t>《辽宁省中小学生健康监测技术规范》编制说明</w:t>
      </w:r>
    </w:p>
    <w:p w14:paraId="402A6BC8">
      <w:pPr>
        <w:spacing w:line="360" w:lineRule="auto"/>
        <w:jc w:val="center"/>
        <w:rPr>
          <w:rFonts w:hint="eastAsia" w:ascii="宋体" w:hAnsi="宋体" w:eastAsia="宋体" w:cs="宋体"/>
          <w:szCs w:val="44"/>
        </w:rPr>
      </w:pPr>
    </w:p>
    <w:p w14:paraId="6212583C">
      <w:pPr>
        <w:pStyle w:val="2"/>
        <w:widowControl w:val="0"/>
        <w:numPr>
          <w:ilvl w:val="255"/>
          <w:numId w:val="0"/>
        </w:numPr>
        <w:shd w:val="clear" w:color="auto" w:fill="FFFFFF"/>
        <w:snapToGrid/>
        <w:spacing w:before="0"/>
        <w:ind w:firstLine="640" w:firstLineChars="200"/>
        <w:jc w:val="left"/>
        <w:rPr>
          <w:rFonts w:hint="eastAsia" w:eastAsia="黑体" w:cs="黑体"/>
          <w:color w:val="000000"/>
          <w:sz w:val="32"/>
        </w:rPr>
      </w:pPr>
      <w:r>
        <w:rPr>
          <w:rFonts w:hint="eastAsia" w:cs="黑体"/>
          <w:b w:val="0"/>
          <w:bCs w:val="0"/>
          <w:sz w:val="32"/>
          <w:lang w:val="en-US" w:eastAsia="zh-CN"/>
        </w:rPr>
        <w:t>一、</w:t>
      </w:r>
      <w:r>
        <w:rPr>
          <w:rFonts w:hint="eastAsia" w:eastAsia="黑体" w:cs="黑体"/>
          <w:b w:val="0"/>
          <w:bCs w:val="0"/>
          <w:color w:val="000000"/>
          <w:sz w:val="32"/>
        </w:rPr>
        <w:t>工作简介</w:t>
      </w:r>
    </w:p>
    <w:p w14:paraId="45299FC3">
      <w:pPr>
        <w:widowControl/>
        <w:shd w:val="clear" w:color="auto" w:fill="FFFFFF"/>
        <w:snapToGrid w:val="0"/>
        <w:spacing w:line="360" w:lineRule="auto"/>
        <w:ind w:firstLine="640" w:firstLineChars="200"/>
        <w:jc w:val="both"/>
        <w:rPr>
          <w:rFonts w:ascii="楷体_GB2312" w:hAnsi="楷体_GB2312" w:eastAsia="楷体_GB2312" w:cs="楷体_GB2312"/>
          <w:color w:val="000000"/>
          <w:sz w:val="32"/>
        </w:rPr>
      </w:pPr>
      <w:r>
        <w:rPr>
          <w:rFonts w:hint="eastAsia" w:ascii="楷体_GB2312" w:hAnsi="楷体_GB2312" w:eastAsia="楷体_GB2312" w:cs="楷体_GB2312"/>
          <w:color w:val="000000"/>
          <w:sz w:val="32"/>
        </w:rPr>
        <w:t>（一）任务来源</w:t>
      </w:r>
    </w:p>
    <w:p w14:paraId="4838E6EE">
      <w:pPr>
        <w:widowControl/>
        <w:numPr>
          <w:ilvl w:val="255"/>
          <w:numId w:val="0"/>
        </w:numPr>
        <w:shd w:val="clear" w:color="auto" w:fill="FFFFFF"/>
        <w:snapToGrid w:val="0"/>
        <w:spacing w:line="360" w:lineRule="auto"/>
        <w:ind w:firstLine="640" w:firstLineChars="200"/>
        <w:jc w:val="both"/>
        <w:rPr>
          <w:rFonts w:eastAsia="仿宋_GB2312"/>
          <w:color w:val="000000"/>
          <w:sz w:val="32"/>
        </w:rPr>
      </w:pPr>
      <w:r>
        <w:rPr>
          <w:rFonts w:eastAsia="仿宋_GB2312"/>
          <w:color w:val="000000"/>
          <w:sz w:val="32"/>
        </w:rPr>
        <w:t>2025年3月，</w:t>
      </w:r>
      <w:r>
        <w:rPr>
          <w:rFonts w:hint="eastAsia" w:eastAsia="仿宋_GB2312"/>
          <w:color w:val="000000"/>
          <w:sz w:val="32"/>
        </w:rPr>
        <w:t>根据辽宁省市场监督管理局《关于征集2025年度辽宁省地方标准制修订计划项目的通知》（辽市监函〔2025〕3号），</w:t>
      </w:r>
      <w:r>
        <w:rPr>
          <w:rFonts w:eastAsia="仿宋_GB2312"/>
          <w:color w:val="000000"/>
          <w:sz w:val="32"/>
        </w:rPr>
        <w:t>由</w:t>
      </w:r>
      <w:r>
        <w:rPr>
          <w:rFonts w:hint="eastAsia" w:eastAsia="仿宋_GB2312"/>
          <w:color w:val="000000"/>
          <w:sz w:val="32"/>
        </w:rPr>
        <w:t>辽宁省</w:t>
      </w:r>
      <w:r>
        <w:rPr>
          <w:rFonts w:eastAsia="仿宋_GB2312"/>
          <w:color w:val="000000"/>
          <w:sz w:val="32"/>
        </w:rPr>
        <w:t>疾病预防控制中心牵头负责《</w:t>
      </w:r>
      <w:r>
        <w:rPr>
          <w:rFonts w:hint="eastAsia" w:eastAsia="仿宋_GB2312"/>
          <w:color w:val="000000"/>
          <w:sz w:val="32"/>
        </w:rPr>
        <w:t>辽宁省中小学生健康监测技术规范</w:t>
      </w:r>
      <w:r>
        <w:rPr>
          <w:rFonts w:eastAsia="仿宋_GB2312"/>
          <w:color w:val="000000"/>
          <w:sz w:val="32"/>
        </w:rPr>
        <w:t>》地方标准制定工作。</w:t>
      </w:r>
    </w:p>
    <w:p w14:paraId="448D7E8C">
      <w:pPr>
        <w:widowControl/>
        <w:shd w:val="clear" w:color="auto" w:fill="FFFFFF"/>
        <w:snapToGrid w:val="0"/>
        <w:spacing w:line="360" w:lineRule="auto"/>
        <w:ind w:firstLine="640" w:firstLineChars="200"/>
        <w:jc w:val="both"/>
        <w:rPr>
          <w:rFonts w:ascii="楷体_GB2312" w:hAnsi="楷体_GB2312" w:eastAsia="楷体_GB2312" w:cs="楷体_GB2312"/>
          <w:color w:val="000000"/>
          <w:sz w:val="32"/>
        </w:rPr>
      </w:pPr>
      <w:r>
        <w:rPr>
          <w:rFonts w:hint="eastAsia" w:ascii="楷体_GB2312" w:hAnsi="楷体_GB2312" w:eastAsia="楷体_GB2312" w:cs="楷体_GB2312"/>
          <w:color w:val="000000"/>
          <w:sz w:val="32"/>
        </w:rPr>
        <w:t>（二）制定标准的目的和意义</w:t>
      </w:r>
    </w:p>
    <w:p w14:paraId="1EF45EE1">
      <w:pPr>
        <w:widowControl/>
        <w:shd w:val="clear" w:color="auto" w:fill="FFFFFF"/>
        <w:snapToGrid w:val="0"/>
        <w:spacing w:line="360" w:lineRule="auto"/>
        <w:ind w:firstLine="640" w:firstLineChars="200"/>
        <w:jc w:val="both"/>
        <w:rPr>
          <w:rFonts w:eastAsia="仿宋_GB2312"/>
          <w:color w:val="000000"/>
          <w:sz w:val="32"/>
        </w:rPr>
      </w:pPr>
      <w:r>
        <w:rPr>
          <w:rFonts w:hint="eastAsia" w:eastAsia="仿宋_GB2312"/>
          <w:color w:val="000000"/>
          <w:sz w:val="32"/>
        </w:rPr>
        <w:t>本标准的制定旨在规范中小学生常见病监测、健康影响因素监测和学校环境影响因素监测的技术要求，以及传染病常态化流行期间开展健康监测的感染防控要求，为中小学生的健康监测工作提供标准依据。</w:t>
      </w:r>
    </w:p>
    <w:p w14:paraId="4500BE91">
      <w:pPr>
        <w:widowControl/>
        <w:shd w:val="clear" w:color="auto" w:fill="FFFFFF"/>
        <w:snapToGrid w:val="0"/>
        <w:spacing w:line="360" w:lineRule="auto"/>
        <w:ind w:firstLine="640" w:firstLineChars="200"/>
        <w:jc w:val="both"/>
        <w:rPr>
          <w:rFonts w:eastAsia="仿宋_GB2312"/>
          <w:color w:val="000000"/>
          <w:sz w:val="32"/>
        </w:rPr>
      </w:pPr>
      <w:r>
        <w:rPr>
          <w:rFonts w:hint="eastAsia" w:eastAsia="仿宋_GB2312"/>
          <w:color w:val="000000"/>
          <w:sz w:val="32"/>
        </w:rPr>
        <w:t>本标准的制定是对现行国家标准和我省中小学生健康监测工作要求的有效补充，可在全省范围内形成统一规范的技术要求，提高中小学生健康监测工作的规范化和标准化；掌握其常见病发生发展基本情况，及时把握关键影响因素，从而更好地制定健康管理和干预计划；提高数据的可比性和可靠性，促进健康信息的共享和交流，有力回应社会关切问题；推动政府和教育部门的关注，促进投入和政策的制定，提高中小学生健康水平。</w:t>
      </w:r>
    </w:p>
    <w:p w14:paraId="5973C521">
      <w:pPr>
        <w:widowControl/>
        <w:shd w:val="clear" w:color="auto" w:fill="FFFFFF"/>
        <w:snapToGrid w:val="0"/>
        <w:spacing w:line="360" w:lineRule="auto"/>
        <w:ind w:firstLine="640" w:firstLineChars="200"/>
        <w:jc w:val="both"/>
        <w:rPr>
          <w:rFonts w:ascii="楷体_GB2312" w:hAnsi="楷体_GB2312" w:eastAsia="楷体_GB2312" w:cs="楷体_GB2312"/>
          <w:color w:val="000000"/>
          <w:sz w:val="32"/>
        </w:rPr>
      </w:pPr>
      <w:r>
        <w:rPr>
          <w:rFonts w:hint="eastAsia" w:ascii="楷体_GB2312" w:hAnsi="楷体_GB2312" w:eastAsia="楷体_GB2312" w:cs="楷体_GB2312"/>
          <w:color w:val="000000"/>
          <w:sz w:val="32"/>
        </w:rPr>
        <w:t>（三）起草单位</w:t>
      </w:r>
    </w:p>
    <w:p w14:paraId="473615EB">
      <w:pPr>
        <w:snapToGrid w:val="0"/>
        <w:spacing w:line="360" w:lineRule="auto"/>
        <w:ind w:firstLine="640" w:firstLineChars="200"/>
        <w:rPr>
          <w:rFonts w:eastAsia="仿宋_GB2312"/>
          <w:color w:val="000000"/>
          <w:sz w:val="32"/>
        </w:rPr>
      </w:pPr>
      <w:r>
        <w:rPr>
          <w:rFonts w:hint="eastAsia" w:eastAsia="仿宋_GB2312"/>
          <w:color w:val="000000"/>
          <w:sz w:val="32"/>
        </w:rPr>
        <w:t>辽宁省</w:t>
      </w:r>
      <w:r>
        <w:rPr>
          <w:rFonts w:eastAsia="仿宋_GB2312"/>
          <w:color w:val="000000"/>
          <w:sz w:val="32"/>
        </w:rPr>
        <w:t>疾病预防控制中心。</w:t>
      </w:r>
    </w:p>
    <w:p w14:paraId="6F7387FE">
      <w:pPr>
        <w:snapToGrid w:val="0"/>
        <w:spacing w:line="360" w:lineRule="auto"/>
        <w:ind w:firstLine="640" w:firstLineChars="200"/>
        <w:rPr>
          <w:rFonts w:ascii="楷体_GB2312" w:hAnsi="楷体_GB2312" w:eastAsia="楷体_GB2312" w:cs="楷体_GB2312"/>
          <w:color w:val="000000"/>
          <w:sz w:val="32"/>
          <w:szCs w:val="24"/>
        </w:rPr>
      </w:pPr>
      <w:r>
        <w:rPr>
          <w:rFonts w:hint="eastAsia" w:ascii="楷体_GB2312" w:hAnsi="楷体_GB2312" w:eastAsia="楷体_GB2312" w:cs="楷体_GB2312"/>
          <w:color w:val="000000"/>
          <w:sz w:val="32"/>
        </w:rPr>
        <w:t>（四）</w:t>
      </w:r>
      <w:r>
        <w:rPr>
          <w:rFonts w:hint="eastAsia" w:ascii="楷体_GB2312" w:hAnsi="楷体_GB2312" w:eastAsia="楷体_GB2312" w:cs="楷体_GB2312"/>
          <w:color w:val="000000"/>
          <w:sz w:val="32"/>
          <w:szCs w:val="24"/>
        </w:rPr>
        <w:t>主要起草人及其所做的工作</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1097"/>
        <w:gridCol w:w="1467"/>
        <w:gridCol w:w="2617"/>
        <w:gridCol w:w="2305"/>
      </w:tblGrid>
      <w:tr w14:paraId="3377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vAlign w:val="center"/>
          </w:tcPr>
          <w:p w14:paraId="6C030B4B">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姓名</w:t>
            </w:r>
          </w:p>
        </w:tc>
        <w:tc>
          <w:tcPr>
            <w:tcW w:w="1097" w:type="dxa"/>
            <w:vAlign w:val="center"/>
          </w:tcPr>
          <w:p w14:paraId="40C49DDD">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专业</w:t>
            </w:r>
          </w:p>
        </w:tc>
        <w:tc>
          <w:tcPr>
            <w:tcW w:w="1467" w:type="dxa"/>
            <w:vAlign w:val="center"/>
          </w:tcPr>
          <w:p w14:paraId="7E91D4FB">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职务/职称</w:t>
            </w:r>
          </w:p>
        </w:tc>
        <w:tc>
          <w:tcPr>
            <w:tcW w:w="2617" w:type="dxa"/>
            <w:vAlign w:val="center"/>
          </w:tcPr>
          <w:p w14:paraId="4CB5036A">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工作单位</w:t>
            </w:r>
          </w:p>
        </w:tc>
        <w:tc>
          <w:tcPr>
            <w:tcW w:w="2305" w:type="dxa"/>
            <w:vAlign w:val="center"/>
          </w:tcPr>
          <w:p w14:paraId="592171B7">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任务分工</w:t>
            </w:r>
          </w:p>
        </w:tc>
      </w:tr>
      <w:tr w14:paraId="22CE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vAlign w:val="center"/>
          </w:tcPr>
          <w:p w14:paraId="7CEA63A2">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吴明</w:t>
            </w:r>
          </w:p>
        </w:tc>
        <w:tc>
          <w:tcPr>
            <w:tcW w:w="1097" w:type="dxa"/>
            <w:vAlign w:val="center"/>
          </w:tcPr>
          <w:p w14:paraId="24153BB2">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流行病</w:t>
            </w:r>
          </w:p>
        </w:tc>
        <w:tc>
          <w:tcPr>
            <w:tcW w:w="1467" w:type="dxa"/>
            <w:vAlign w:val="center"/>
          </w:tcPr>
          <w:p w14:paraId="58F8DE1A">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主任医师</w:t>
            </w:r>
          </w:p>
        </w:tc>
        <w:tc>
          <w:tcPr>
            <w:tcW w:w="2617" w:type="dxa"/>
            <w:vAlign w:val="center"/>
          </w:tcPr>
          <w:p w14:paraId="003610E9">
            <w:pPr>
              <w:snapToGrid w:val="0"/>
              <w:spacing w:line="240" w:lineRule="auto"/>
              <w:jc w:val="both"/>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辽宁省疾病预防控制中心</w:t>
            </w:r>
          </w:p>
        </w:tc>
        <w:tc>
          <w:tcPr>
            <w:tcW w:w="2305" w:type="dxa"/>
            <w:vAlign w:val="center"/>
          </w:tcPr>
          <w:p w14:paraId="26E8F8BD">
            <w:pPr>
              <w:snapToGrid w:val="0"/>
              <w:spacing w:line="240" w:lineRule="auto"/>
              <w:jc w:val="both"/>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负责人，主持起草工作</w:t>
            </w:r>
          </w:p>
        </w:tc>
      </w:tr>
      <w:tr w14:paraId="2DE5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shd w:val="clear" w:color="auto" w:fill="auto"/>
            <w:vAlign w:val="center"/>
          </w:tcPr>
          <w:p w14:paraId="77CC7A5F">
            <w:pPr>
              <w:snapToGrid w:val="0"/>
              <w:spacing w:line="240" w:lineRule="auto"/>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bCs/>
                <w:szCs w:val="21"/>
              </w:rPr>
              <w:t>叶茜雯</w:t>
            </w:r>
          </w:p>
        </w:tc>
        <w:tc>
          <w:tcPr>
            <w:tcW w:w="1097" w:type="dxa"/>
            <w:shd w:val="clear" w:color="auto" w:fill="auto"/>
            <w:vAlign w:val="center"/>
          </w:tcPr>
          <w:p w14:paraId="3D300304">
            <w:pPr>
              <w:snapToGrid w:val="0"/>
              <w:spacing w:line="240" w:lineRule="auto"/>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bCs/>
                <w:szCs w:val="21"/>
              </w:rPr>
              <w:t>卫生管理</w:t>
            </w:r>
          </w:p>
        </w:tc>
        <w:tc>
          <w:tcPr>
            <w:tcW w:w="1467" w:type="dxa"/>
            <w:shd w:val="clear" w:color="auto" w:fill="auto"/>
            <w:vAlign w:val="center"/>
          </w:tcPr>
          <w:p w14:paraId="638C72A3">
            <w:pPr>
              <w:snapToGrid w:val="0"/>
              <w:spacing w:line="240" w:lineRule="auto"/>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bCs/>
                <w:szCs w:val="21"/>
                <w:lang w:val="en-US" w:eastAsia="zh-CN"/>
              </w:rPr>
              <w:t>副主任</w:t>
            </w:r>
            <w:r>
              <w:rPr>
                <w:rFonts w:hint="eastAsia" w:ascii="仿宋_GB2312" w:hAnsi="仿宋_GB2312" w:eastAsia="仿宋_GB2312" w:cs="仿宋_GB2312"/>
                <w:bCs/>
                <w:szCs w:val="21"/>
              </w:rPr>
              <w:t>技师</w:t>
            </w:r>
          </w:p>
        </w:tc>
        <w:tc>
          <w:tcPr>
            <w:tcW w:w="2617" w:type="dxa"/>
            <w:shd w:val="clear" w:color="auto" w:fill="auto"/>
            <w:vAlign w:val="center"/>
          </w:tcPr>
          <w:p w14:paraId="0997AF13">
            <w:pPr>
              <w:snapToGrid w:val="0"/>
              <w:spacing w:line="240" w:lineRule="auto"/>
              <w:jc w:val="both"/>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辽宁省疾病预防控制中心</w:t>
            </w:r>
          </w:p>
        </w:tc>
        <w:tc>
          <w:tcPr>
            <w:tcW w:w="2305" w:type="dxa"/>
            <w:shd w:val="clear" w:color="auto" w:fill="auto"/>
            <w:vAlign w:val="center"/>
          </w:tcPr>
          <w:p w14:paraId="1C42B1BD">
            <w:pPr>
              <w:snapToGrid w:val="0"/>
              <w:spacing w:line="240" w:lineRule="auto"/>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负责人</w:t>
            </w:r>
          </w:p>
        </w:tc>
      </w:tr>
      <w:tr w14:paraId="7B3F0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vAlign w:val="center"/>
          </w:tcPr>
          <w:p w14:paraId="326D4E37">
            <w:pPr>
              <w:snapToGrid w:val="0"/>
              <w:spacing w:line="240" w:lineRule="auto"/>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孙英伟</w:t>
            </w:r>
          </w:p>
        </w:tc>
        <w:tc>
          <w:tcPr>
            <w:tcW w:w="1097" w:type="dxa"/>
            <w:vAlign w:val="center"/>
          </w:tcPr>
          <w:p w14:paraId="34563C66">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流行病</w:t>
            </w:r>
          </w:p>
        </w:tc>
        <w:tc>
          <w:tcPr>
            <w:tcW w:w="1467" w:type="dxa"/>
            <w:vAlign w:val="center"/>
          </w:tcPr>
          <w:p w14:paraId="4FB29931">
            <w:pPr>
              <w:snapToGrid w:val="0"/>
              <w:spacing w:line="240" w:lineRule="auto"/>
              <w:jc w:val="center"/>
              <w:rPr>
                <w:rFonts w:ascii="仿宋_GB2312" w:hAnsi="仿宋_GB2312" w:eastAsia="仿宋_GB2312" w:cs="仿宋_GB2312"/>
                <w:color w:val="000000"/>
                <w:sz w:val="21"/>
                <w:szCs w:val="21"/>
              </w:rPr>
            </w:pPr>
            <w:bookmarkStart w:id="0" w:name="_GoBack"/>
            <w:bookmarkEnd w:id="0"/>
            <w:r>
              <w:rPr>
                <w:rFonts w:hint="eastAsia" w:ascii="仿宋_GB2312" w:hAnsi="仿宋_GB2312" w:eastAsia="仿宋_GB2312" w:cs="仿宋_GB2312"/>
                <w:bCs/>
                <w:szCs w:val="21"/>
              </w:rPr>
              <w:t>主任医师</w:t>
            </w:r>
          </w:p>
        </w:tc>
        <w:tc>
          <w:tcPr>
            <w:tcW w:w="2617" w:type="dxa"/>
            <w:vAlign w:val="center"/>
          </w:tcPr>
          <w:p w14:paraId="0B063CD5">
            <w:pPr>
              <w:snapToGrid w:val="0"/>
              <w:spacing w:line="240" w:lineRule="auto"/>
              <w:jc w:val="both"/>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辽宁省疾病预防控制中心</w:t>
            </w:r>
          </w:p>
        </w:tc>
        <w:tc>
          <w:tcPr>
            <w:tcW w:w="2305" w:type="dxa"/>
            <w:vAlign w:val="center"/>
          </w:tcPr>
          <w:p w14:paraId="0EE13FA0">
            <w:pPr>
              <w:snapToGrid w:val="0"/>
              <w:spacing w:line="240" w:lineRule="auto"/>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负责人</w:t>
            </w:r>
          </w:p>
        </w:tc>
      </w:tr>
      <w:tr w14:paraId="17E3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shd w:val="clear" w:color="auto" w:fill="auto"/>
            <w:vAlign w:val="center"/>
          </w:tcPr>
          <w:p w14:paraId="342A2E83">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丛龙娟</w:t>
            </w:r>
          </w:p>
        </w:tc>
        <w:tc>
          <w:tcPr>
            <w:tcW w:w="1097" w:type="dxa"/>
            <w:shd w:val="clear" w:color="auto" w:fill="auto"/>
            <w:vAlign w:val="center"/>
          </w:tcPr>
          <w:p w14:paraId="15211E93">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公共卫生</w:t>
            </w:r>
          </w:p>
        </w:tc>
        <w:tc>
          <w:tcPr>
            <w:tcW w:w="1467" w:type="dxa"/>
            <w:shd w:val="clear" w:color="auto" w:fill="auto"/>
            <w:vAlign w:val="center"/>
          </w:tcPr>
          <w:p w14:paraId="2632E625">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医师</w:t>
            </w:r>
          </w:p>
        </w:tc>
        <w:tc>
          <w:tcPr>
            <w:tcW w:w="2617" w:type="dxa"/>
            <w:shd w:val="clear" w:color="auto" w:fill="auto"/>
            <w:vAlign w:val="center"/>
          </w:tcPr>
          <w:p w14:paraId="670F45BE">
            <w:pPr>
              <w:snapToGrid w:val="0"/>
              <w:spacing w:line="240" w:lineRule="auto"/>
              <w:jc w:val="both"/>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辽宁省疾病预防控制中心</w:t>
            </w:r>
          </w:p>
        </w:tc>
        <w:tc>
          <w:tcPr>
            <w:tcW w:w="2305" w:type="dxa"/>
            <w:shd w:val="clear" w:color="auto" w:fill="auto"/>
            <w:vAlign w:val="center"/>
          </w:tcPr>
          <w:p w14:paraId="225B0F15">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现场调查与资料分析</w:t>
            </w:r>
          </w:p>
        </w:tc>
      </w:tr>
      <w:tr w14:paraId="38B9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shd w:val="clear" w:color="auto" w:fill="auto"/>
            <w:vAlign w:val="center"/>
          </w:tcPr>
          <w:p w14:paraId="2A3D7027">
            <w:pPr>
              <w:snapToGrid w:val="0"/>
              <w:spacing w:line="240" w:lineRule="auto"/>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bCs/>
                <w:szCs w:val="21"/>
              </w:rPr>
              <w:t>刘家起</w:t>
            </w:r>
          </w:p>
        </w:tc>
        <w:tc>
          <w:tcPr>
            <w:tcW w:w="1097" w:type="dxa"/>
            <w:shd w:val="clear" w:color="auto" w:fill="auto"/>
            <w:vAlign w:val="center"/>
          </w:tcPr>
          <w:p w14:paraId="2C7D69CA">
            <w:pPr>
              <w:snapToGrid w:val="0"/>
              <w:spacing w:line="240" w:lineRule="auto"/>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bCs/>
                <w:szCs w:val="21"/>
              </w:rPr>
              <w:t>流行病与卫生统计</w:t>
            </w:r>
          </w:p>
        </w:tc>
        <w:tc>
          <w:tcPr>
            <w:tcW w:w="1467" w:type="dxa"/>
            <w:shd w:val="clear" w:color="auto" w:fill="auto"/>
            <w:vAlign w:val="center"/>
          </w:tcPr>
          <w:p w14:paraId="455C519D">
            <w:pPr>
              <w:snapToGrid w:val="0"/>
              <w:spacing w:line="240" w:lineRule="auto"/>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bCs/>
                <w:szCs w:val="21"/>
              </w:rPr>
              <w:t>医师</w:t>
            </w:r>
          </w:p>
        </w:tc>
        <w:tc>
          <w:tcPr>
            <w:tcW w:w="2617" w:type="dxa"/>
            <w:shd w:val="clear" w:color="auto" w:fill="auto"/>
            <w:vAlign w:val="center"/>
          </w:tcPr>
          <w:p w14:paraId="442DC859">
            <w:pPr>
              <w:snapToGrid w:val="0"/>
              <w:spacing w:line="240" w:lineRule="auto"/>
              <w:jc w:val="both"/>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辽宁省疾病预防控制中心</w:t>
            </w:r>
          </w:p>
        </w:tc>
        <w:tc>
          <w:tcPr>
            <w:tcW w:w="2305" w:type="dxa"/>
            <w:shd w:val="clear" w:color="auto" w:fill="auto"/>
            <w:vAlign w:val="center"/>
          </w:tcPr>
          <w:p w14:paraId="3798D0FF">
            <w:pPr>
              <w:snapToGrid w:val="0"/>
              <w:spacing w:line="240" w:lineRule="auto"/>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rPr>
              <w:t>现场调查与资料分析</w:t>
            </w:r>
          </w:p>
        </w:tc>
      </w:tr>
      <w:tr w14:paraId="351D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vAlign w:val="center"/>
          </w:tcPr>
          <w:p w14:paraId="09CE8603">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王国辉</w:t>
            </w:r>
          </w:p>
        </w:tc>
        <w:tc>
          <w:tcPr>
            <w:tcW w:w="1097" w:type="dxa"/>
            <w:vAlign w:val="center"/>
          </w:tcPr>
          <w:p w14:paraId="2D70F431">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流行病</w:t>
            </w:r>
          </w:p>
        </w:tc>
        <w:tc>
          <w:tcPr>
            <w:tcW w:w="1467" w:type="dxa"/>
            <w:vAlign w:val="center"/>
          </w:tcPr>
          <w:p w14:paraId="2935EE4D">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主管医师</w:t>
            </w:r>
          </w:p>
        </w:tc>
        <w:tc>
          <w:tcPr>
            <w:tcW w:w="2617" w:type="dxa"/>
            <w:vAlign w:val="center"/>
          </w:tcPr>
          <w:p w14:paraId="49EC172C">
            <w:pPr>
              <w:snapToGrid w:val="0"/>
              <w:spacing w:line="240" w:lineRule="auto"/>
              <w:jc w:val="both"/>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辽宁省疾病预防控制中心</w:t>
            </w:r>
          </w:p>
        </w:tc>
        <w:tc>
          <w:tcPr>
            <w:tcW w:w="2305" w:type="dxa"/>
            <w:vAlign w:val="center"/>
          </w:tcPr>
          <w:p w14:paraId="423A5826">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质量控制</w:t>
            </w:r>
          </w:p>
        </w:tc>
      </w:tr>
      <w:tr w14:paraId="46EB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vAlign w:val="center"/>
          </w:tcPr>
          <w:p w14:paraId="0E50E319">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周欣琳</w:t>
            </w:r>
          </w:p>
        </w:tc>
        <w:tc>
          <w:tcPr>
            <w:tcW w:w="1097" w:type="dxa"/>
            <w:vAlign w:val="center"/>
          </w:tcPr>
          <w:p w14:paraId="7DEB673D">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营养</w:t>
            </w:r>
          </w:p>
        </w:tc>
        <w:tc>
          <w:tcPr>
            <w:tcW w:w="1467" w:type="dxa"/>
            <w:vAlign w:val="center"/>
          </w:tcPr>
          <w:p w14:paraId="3D663291">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主管技师</w:t>
            </w:r>
          </w:p>
        </w:tc>
        <w:tc>
          <w:tcPr>
            <w:tcW w:w="2617" w:type="dxa"/>
            <w:vAlign w:val="center"/>
          </w:tcPr>
          <w:p w14:paraId="55511D72">
            <w:pPr>
              <w:snapToGrid w:val="0"/>
              <w:spacing w:line="240" w:lineRule="auto"/>
              <w:jc w:val="both"/>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辽宁省疾病预防控制中心</w:t>
            </w:r>
          </w:p>
        </w:tc>
        <w:tc>
          <w:tcPr>
            <w:tcW w:w="2305" w:type="dxa"/>
            <w:vAlign w:val="center"/>
          </w:tcPr>
          <w:p w14:paraId="45B711F6">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会议组织与档案资料整理</w:t>
            </w:r>
          </w:p>
        </w:tc>
      </w:tr>
      <w:tr w14:paraId="276A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vAlign w:val="center"/>
          </w:tcPr>
          <w:p w14:paraId="3764376D">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任航</w:t>
            </w:r>
          </w:p>
        </w:tc>
        <w:tc>
          <w:tcPr>
            <w:tcW w:w="1097" w:type="dxa"/>
            <w:vAlign w:val="center"/>
          </w:tcPr>
          <w:p w14:paraId="0FCF1104">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预防医学</w:t>
            </w:r>
          </w:p>
        </w:tc>
        <w:tc>
          <w:tcPr>
            <w:tcW w:w="1467" w:type="dxa"/>
            <w:vAlign w:val="center"/>
          </w:tcPr>
          <w:p w14:paraId="1906B9D4">
            <w:pPr>
              <w:snapToGrid w:val="0"/>
              <w:spacing w:line="240" w:lineRule="auto"/>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医师</w:t>
            </w:r>
          </w:p>
        </w:tc>
        <w:tc>
          <w:tcPr>
            <w:tcW w:w="2617" w:type="dxa"/>
            <w:vAlign w:val="center"/>
          </w:tcPr>
          <w:p w14:paraId="02940AA1">
            <w:pPr>
              <w:snapToGrid w:val="0"/>
              <w:spacing w:line="240" w:lineRule="auto"/>
              <w:jc w:val="both"/>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辽宁省疾病预防控制中心</w:t>
            </w:r>
          </w:p>
        </w:tc>
        <w:tc>
          <w:tcPr>
            <w:tcW w:w="2305" w:type="dxa"/>
            <w:vAlign w:val="center"/>
          </w:tcPr>
          <w:p w14:paraId="3B47E4B4">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查阅文献与资料分析</w:t>
            </w:r>
          </w:p>
        </w:tc>
      </w:tr>
      <w:tr w14:paraId="799E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vAlign w:val="center"/>
          </w:tcPr>
          <w:p w14:paraId="0B93784E">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曾倩</w:t>
            </w:r>
          </w:p>
        </w:tc>
        <w:tc>
          <w:tcPr>
            <w:tcW w:w="1097" w:type="dxa"/>
            <w:vAlign w:val="center"/>
          </w:tcPr>
          <w:p w14:paraId="5E82F0A9">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流行病与卫生统计</w:t>
            </w:r>
          </w:p>
        </w:tc>
        <w:tc>
          <w:tcPr>
            <w:tcW w:w="1467" w:type="dxa"/>
            <w:vAlign w:val="center"/>
          </w:tcPr>
          <w:p w14:paraId="24CB1B50">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医师</w:t>
            </w:r>
          </w:p>
        </w:tc>
        <w:tc>
          <w:tcPr>
            <w:tcW w:w="2617" w:type="dxa"/>
            <w:vAlign w:val="center"/>
          </w:tcPr>
          <w:p w14:paraId="055BBC87">
            <w:pPr>
              <w:snapToGrid w:val="0"/>
              <w:spacing w:line="240" w:lineRule="auto"/>
              <w:jc w:val="both"/>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辽宁省疾病预防控制中心</w:t>
            </w:r>
          </w:p>
        </w:tc>
        <w:tc>
          <w:tcPr>
            <w:tcW w:w="2305" w:type="dxa"/>
            <w:vAlign w:val="center"/>
          </w:tcPr>
          <w:p w14:paraId="46F43776">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查阅文献与资料分析</w:t>
            </w:r>
          </w:p>
        </w:tc>
      </w:tr>
      <w:tr w14:paraId="0D89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vAlign w:val="center"/>
          </w:tcPr>
          <w:p w14:paraId="5E2609DE">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陈荟栩</w:t>
            </w:r>
          </w:p>
        </w:tc>
        <w:tc>
          <w:tcPr>
            <w:tcW w:w="1097" w:type="dxa"/>
            <w:vAlign w:val="center"/>
          </w:tcPr>
          <w:p w14:paraId="0B675A09">
            <w:pPr>
              <w:snapToGrid w:val="0"/>
              <w:spacing w:line="24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bCs/>
                <w:szCs w:val="21"/>
              </w:rPr>
              <w:t>流行病与卫生统计</w:t>
            </w:r>
          </w:p>
        </w:tc>
        <w:tc>
          <w:tcPr>
            <w:tcW w:w="1467" w:type="dxa"/>
            <w:vAlign w:val="center"/>
          </w:tcPr>
          <w:p w14:paraId="4C4CB1CA">
            <w:pPr>
              <w:snapToGrid w:val="0"/>
              <w:spacing w:line="240" w:lineRule="auto"/>
              <w:jc w:val="center"/>
              <w:rPr>
                <w:rFonts w:ascii="仿宋_GB2312" w:hAnsi="仿宋_GB2312" w:eastAsia="仿宋_GB2312" w:cs="仿宋_GB2312"/>
                <w:color w:val="000000"/>
                <w:sz w:val="21"/>
                <w:szCs w:val="21"/>
              </w:rPr>
            </w:pPr>
          </w:p>
        </w:tc>
        <w:tc>
          <w:tcPr>
            <w:tcW w:w="2617" w:type="dxa"/>
            <w:vAlign w:val="center"/>
          </w:tcPr>
          <w:p w14:paraId="4566642D">
            <w:pPr>
              <w:snapToGrid w:val="0"/>
              <w:spacing w:line="240" w:lineRule="auto"/>
              <w:jc w:val="both"/>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辽宁省疾病预防控制中心</w:t>
            </w:r>
          </w:p>
        </w:tc>
        <w:tc>
          <w:tcPr>
            <w:tcW w:w="2305" w:type="dxa"/>
            <w:vAlign w:val="center"/>
          </w:tcPr>
          <w:p w14:paraId="4B05055F">
            <w:pPr>
              <w:snapToGrid w:val="0"/>
              <w:spacing w:line="240" w:lineRule="auto"/>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查阅文献与资料分析</w:t>
            </w:r>
          </w:p>
        </w:tc>
      </w:tr>
      <w:tr w14:paraId="5302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36" w:type="dxa"/>
            <w:vAlign w:val="center"/>
          </w:tcPr>
          <w:p w14:paraId="6C460290">
            <w:pPr>
              <w:snapToGrid w:val="0"/>
              <w:spacing w:line="240" w:lineRule="auto"/>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孙宇欣</w:t>
            </w:r>
          </w:p>
        </w:tc>
        <w:tc>
          <w:tcPr>
            <w:tcW w:w="1097" w:type="dxa"/>
            <w:vAlign w:val="center"/>
          </w:tcPr>
          <w:p w14:paraId="3CAE9D73">
            <w:pPr>
              <w:snapToGrid w:val="0"/>
              <w:spacing w:line="240" w:lineRule="auto"/>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预防医学</w:t>
            </w:r>
          </w:p>
        </w:tc>
        <w:tc>
          <w:tcPr>
            <w:tcW w:w="1467" w:type="dxa"/>
            <w:vAlign w:val="center"/>
          </w:tcPr>
          <w:p w14:paraId="2A28C270">
            <w:pPr>
              <w:snapToGrid w:val="0"/>
              <w:spacing w:line="240" w:lineRule="auto"/>
              <w:jc w:val="center"/>
              <w:rPr>
                <w:rFonts w:ascii="仿宋_GB2312" w:hAnsi="仿宋_GB2312" w:eastAsia="仿宋_GB2312" w:cs="仿宋_GB2312"/>
                <w:color w:val="000000"/>
                <w:sz w:val="21"/>
                <w:szCs w:val="21"/>
              </w:rPr>
            </w:pPr>
          </w:p>
        </w:tc>
        <w:tc>
          <w:tcPr>
            <w:tcW w:w="2617" w:type="dxa"/>
            <w:vAlign w:val="center"/>
          </w:tcPr>
          <w:p w14:paraId="53BA7532">
            <w:pPr>
              <w:snapToGrid w:val="0"/>
              <w:spacing w:line="240" w:lineRule="auto"/>
              <w:jc w:val="both"/>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辽宁省疾病预防控制中心</w:t>
            </w:r>
          </w:p>
        </w:tc>
        <w:tc>
          <w:tcPr>
            <w:tcW w:w="2305" w:type="dxa"/>
            <w:vAlign w:val="center"/>
          </w:tcPr>
          <w:p w14:paraId="5CF716F7">
            <w:pPr>
              <w:snapToGrid w:val="0"/>
              <w:spacing w:line="240" w:lineRule="auto"/>
              <w:jc w:val="center"/>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查阅文献与资料分析</w:t>
            </w:r>
          </w:p>
        </w:tc>
      </w:tr>
    </w:tbl>
    <w:p w14:paraId="5910FA2B">
      <w:pPr>
        <w:numPr>
          <w:ilvl w:val="255"/>
          <w:numId w:val="0"/>
        </w:numPr>
        <w:spacing w:line="360" w:lineRule="auto"/>
        <w:ind w:firstLine="640" w:firstLineChars="200"/>
        <w:rPr>
          <w:rFonts w:hint="eastAsia" w:ascii="楷体_GB2312" w:hAnsi="楷体_GB2312" w:eastAsia="楷体_GB2312" w:cs="楷体_GB2312"/>
          <w:b w:val="0"/>
          <w:bCs w:val="0"/>
          <w:color w:val="000000"/>
          <w:sz w:val="32"/>
        </w:rPr>
      </w:pPr>
      <w:r>
        <w:rPr>
          <w:rFonts w:hint="eastAsia" w:ascii="楷体_GB2312" w:hAnsi="楷体_GB2312" w:eastAsia="楷体_GB2312" w:cs="楷体_GB2312"/>
          <w:color w:val="000000"/>
          <w:sz w:val="32"/>
        </w:rPr>
        <w:t>（五）</w:t>
      </w:r>
      <w:r>
        <w:rPr>
          <w:rFonts w:hint="eastAsia" w:ascii="楷体_GB2312" w:hAnsi="楷体_GB2312" w:eastAsia="楷体_GB2312" w:cs="楷体_GB2312"/>
          <w:b w:val="0"/>
          <w:bCs w:val="0"/>
          <w:color w:val="000000"/>
          <w:sz w:val="32"/>
        </w:rPr>
        <w:t>主要工作过程</w:t>
      </w:r>
    </w:p>
    <w:p w14:paraId="4264A497">
      <w:pPr>
        <w:numPr>
          <w:ilvl w:val="255"/>
          <w:numId w:val="0"/>
        </w:numPr>
        <w:spacing w:line="360" w:lineRule="auto"/>
        <w:ind w:firstLine="640" w:firstLineChars="200"/>
        <w:rPr>
          <w:rFonts w:eastAsia="仿宋_GB2312"/>
          <w:color w:val="000000"/>
          <w:sz w:val="32"/>
        </w:rPr>
      </w:pPr>
      <w:r>
        <w:rPr>
          <w:rFonts w:hint="eastAsia" w:eastAsia="仿宋_GB2312"/>
          <w:color w:val="000000"/>
          <w:sz w:val="32"/>
        </w:rPr>
        <w:t>1.</w:t>
      </w:r>
      <w:r>
        <w:rPr>
          <w:rFonts w:hint="eastAsia" w:eastAsia="仿宋_GB2312"/>
          <w:b w:val="0"/>
          <w:bCs w:val="0"/>
          <w:color w:val="000000"/>
          <w:sz w:val="32"/>
        </w:rPr>
        <w:t>前期调研</w:t>
      </w:r>
    </w:p>
    <w:p w14:paraId="24360C54">
      <w:pPr>
        <w:numPr>
          <w:ilvl w:val="255"/>
          <w:numId w:val="0"/>
        </w:numPr>
        <w:spacing w:line="360" w:lineRule="auto"/>
        <w:ind w:firstLine="640" w:firstLineChars="200"/>
        <w:rPr>
          <w:rFonts w:eastAsia="仿宋_GB2312"/>
          <w:color w:val="000000"/>
          <w:sz w:val="32"/>
        </w:rPr>
      </w:pPr>
      <w:r>
        <w:rPr>
          <w:rFonts w:hint="eastAsia" w:eastAsia="仿宋_GB2312"/>
          <w:color w:val="000000"/>
          <w:sz w:val="32"/>
        </w:rPr>
        <w:t>2024年9至10月，</w:t>
      </w:r>
      <w:r>
        <w:rPr>
          <w:rFonts w:hint="eastAsia" w:eastAsia="仿宋_GB2312"/>
          <w:b w:val="0"/>
          <w:bCs w:val="0"/>
          <w:color w:val="000000"/>
          <w:sz w:val="32"/>
        </w:rPr>
        <w:t>在前期连续多年组织全</w:t>
      </w:r>
      <w:r>
        <w:rPr>
          <w:rFonts w:hint="eastAsia" w:eastAsia="仿宋_GB2312"/>
          <w:color w:val="000000"/>
          <w:sz w:val="32"/>
        </w:rPr>
        <w:t>省</w:t>
      </w:r>
      <w:r>
        <w:rPr>
          <w:rFonts w:hint="eastAsia" w:eastAsia="仿宋_GB2312"/>
          <w:b w:val="0"/>
          <w:bCs w:val="0"/>
          <w:color w:val="000000"/>
          <w:sz w:val="32"/>
        </w:rPr>
        <w:t>开展学生常见病监测积累的大量调查数据的基础上，</w:t>
      </w:r>
      <w:r>
        <w:rPr>
          <w:rFonts w:hint="eastAsia" w:eastAsia="仿宋_GB2312"/>
          <w:color w:val="000000"/>
          <w:sz w:val="32"/>
        </w:rPr>
        <w:t>编写组</w:t>
      </w:r>
      <w:r>
        <w:rPr>
          <w:rFonts w:hint="eastAsia" w:eastAsia="仿宋_GB2312"/>
          <w:b w:val="0"/>
          <w:bCs w:val="0"/>
          <w:color w:val="000000"/>
          <w:sz w:val="32"/>
        </w:rPr>
        <w:t>通过文献检索，广泛收集相关资料，</w:t>
      </w:r>
      <w:r>
        <w:rPr>
          <w:rFonts w:hint="eastAsia" w:eastAsia="仿宋_GB2312"/>
          <w:color w:val="000000"/>
          <w:sz w:val="32"/>
        </w:rPr>
        <w:t>包括国家标准、行业标准、科研文献以及其他地区的地方标准，</w:t>
      </w:r>
      <w:r>
        <w:rPr>
          <w:rFonts w:hint="eastAsia" w:eastAsia="仿宋_GB2312"/>
          <w:b w:val="0"/>
          <w:bCs w:val="0"/>
          <w:color w:val="000000"/>
          <w:sz w:val="32"/>
        </w:rPr>
        <w:t>正式启动《</w:t>
      </w:r>
      <w:r>
        <w:rPr>
          <w:rFonts w:hint="eastAsia" w:eastAsia="仿宋_GB2312"/>
          <w:color w:val="000000"/>
          <w:sz w:val="32"/>
        </w:rPr>
        <w:t>辽宁省中小学生健康监测技术规范</w:t>
      </w:r>
      <w:r>
        <w:rPr>
          <w:rFonts w:hint="eastAsia" w:eastAsia="仿宋_GB2312"/>
          <w:b w:val="0"/>
          <w:bCs w:val="0"/>
          <w:color w:val="000000"/>
          <w:sz w:val="32"/>
        </w:rPr>
        <w:t>》研制工作。</w:t>
      </w:r>
    </w:p>
    <w:p w14:paraId="03543FF6">
      <w:pPr>
        <w:widowControl/>
        <w:numPr>
          <w:ilvl w:val="255"/>
          <w:numId w:val="0"/>
        </w:numPr>
        <w:shd w:val="clear" w:color="auto" w:fill="FFFFFF"/>
        <w:snapToGrid w:val="0"/>
        <w:spacing w:line="360" w:lineRule="auto"/>
        <w:ind w:firstLine="640" w:firstLineChars="200"/>
        <w:rPr>
          <w:rFonts w:eastAsia="仿宋_GB2312"/>
          <w:color w:val="000000"/>
          <w:sz w:val="32"/>
        </w:rPr>
      </w:pPr>
      <w:r>
        <w:rPr>
          <w:rFonts w:hint="eastAsia" w:eastAsia="仿宋_GB2312"/>
          <w:color w:val="000000"/>
          <w:sz w:val="32"/>
        </w:rPr>
        <w:t>2.起草工作</w:t>
      </w:r>
    </w:p>
    <w:p w14:paraId="63920E0A">
      <w:pPr>
        <w:widowControl/>
        <w:numPr>
          <w:ilvl w:val="255"/>
          <w:numId w:val="0"/>
        </w:numPr>
        <w:shd w:val="clear" w:color="auto" w:fill="FFFFFF"/>
        <w:snapToGrid w:val="0"/>
        <w:spacing w:line="360" w:lineRule="auto"/>
        <w:ind w:firstLine="640" w:firstLineChars="200"/>
        <w:rPr>
          <w:rFonts w:eastAsia="仿宋_GB2312"/>
          <w:color w:val="000000"/>
          <w:sz w:val="32"/>
        </w:rPr>
      </w:pPr>
      <w:r>
        <w:rPr>
          <w:rFonts w:hint="eastAsia" w:eastAsia="仿宋_GB2312"/>
          <w:color w:val="000000"/>
          <w:sz w:val="32"/>
        </w:rPr>
        <w:t>2024年11月至2025年2月，通过</w:t>
      </w:r>
      <w:r>
        <w:rPr>
          <w:rFonts w:hint="eastAsia" w:eastAsia="仿宋_GB2312"/>
          <w:b w:val="0"/>
          <w:bCs w:val="0"/>
          <w:color w:val="000000"/>
          <w:sz w:val="32"/>
        </w:rPr>
        <w:t>整合前期工作和调查数据，召开编写组工作会议，并多次组织专家讨论，拟定标准主要框架，确定标准化对象及技术要素，按照GB/T 1.1-2020</w:t>
      </w:r>
      <w:r>
        <w:rPr>
          <w:rFonts w:hint="eastAsia" w:eastAsia="仿宋_GB2312"/>
          <w:color w:val="000000"/>
          <w:sz w:val="32"/>
        </w:rPr>
        <w:t>细</w:t>
      </w:r>
      <w:r>
        <w:rPr>
          <w:rFonts w:hint="eastAsia" w:eastAsia="仿宋_GB2312"/>
          <w:b w:val="0"/>
          <w:bCs w:val="0"/>
          <w:color w:val="000000"/>
          <w:sz w:val="32"/>
        </w:rPr>
        <w:t>则，参考学生健康检查和学校教学生活环境卫生监测的相关标准和规范，结合</w:t>
      </w:r>
      <w:r>
        <w:rPr>
          <w:rFonts w:hint="eastAsia" w:eastAsia="仿宋_GB2312"/>
          <w:color w:val="000000"/>
          <w:sz w:val="32"/>
        </w:rPr>
        <w:t>辽宁省</w:t>
      </w:r>
      <w:r>
        <w:rPr>
          <w:rFonts w:hint="eastAsia" w:eastAsia="仿宋_GB2312"/>
          <w:b w:val="0"/>
          <w:bCs w:val="0"/>
          <w:color w:val="000000"/>
          <w:sz w:val="32"/>
        </w:rPr>
        <w:t>实际情况，编制《</w:t>
      </w:r>
      <w:r>
        <w:rPr>
          <w:rFonts w:hint="eastAsia" w:eastAsia="仿宋_GB2312"/>
          <w:color w:val="000000"/>
          <w:sz w:val="32"/>
        </w:rPr>
        <w:t>辽宁省中小学生健康监测技术规范</w:t>
      </w:r>
      <w:r>
        <w:rPr>
          <w:rFonts w:hint="eastAsia" w:eastAsia="仿宋_GB2312"/>
          <w:b w:val="0"/>
          <w:bCs w:val="0"/>
          <w:color w:val="000000"/>
          <w:sz w:val="32"/>
        </w:rPr>
        <w:t>》</w:t>
      </w:r>
      <w:r>
        <w:rPr>
          <w:rFonts w:hint="eastAsia" w:eastAsia="仿宋_GB2312"/>
          <w:color w:val="000000"/>
          <w:sz w:val="32"/>
        </w:rPr>
        <w:t>（草案）及标准编制说明初稿</w:t>
      </w:r>
      <w:r>
        <w:rPr>
          <w:rFonts w:hint="eastAsia" w:eastAsia="仿宋_GB2312"/>
          <w:b w:val="0"/>
          <w:bCs w:val="0"/>
          <w:color w:val="000000"/>
          <w:sz w:val="32"/>
        </w:rPr>
        <w:t>。</w:t>
      </w:r>
    </w:p>
    <w:p w14:paraId="2D19DDF7">
      <w:pPr>
        <w:pStyle w:val="2"/>
        <w:numPr>
          <w:ilvl w:val="255"/>
          <w:numId w:val="0"/>
        </w:numPr>
        <w:snapToGrid/>
        <w:spacing w:before="0"/>
        <w:ind w:left="1" w:firstLine="640" w:firstLineChars="200"/>
        <w:rPr>
          <w:rFonts w:hint="eastAsia" w:eastAsia="黑体" w:cs="黑体"/>
          <w:b w:val="0"/>
          <w:bCs w:val="0"/>
          <w:color w:val="000000"/>
          <w:sz w:val="32"/>
        </w:rPr>
      </w:pPr>
      <w:r>
        <w:rPr>
          <w:rFonts w:hint="eastAsia" w:cs="黑体"/>
          <w:b w:val="0"/>
          <w:bCs w:val="0"/>
          <w:sz w:val="32"/>
          <w:lang w:val="en-US" w:eastAsia="zh-CN"/>
        </w:rPr>
        <w:t>二、</w:t>
      </w:r>
      <w:r>
        <w:rPr>
          <w:rFonts w:hint="eastAsia" w:eastAsia="黑体" w:cs="黑体"/>
          <w:b w:val="0"/>
          <w:bCs w:val="0"/>
          <w:color w:val="000000"/>
          <w:sz w:val="32"/>
        </w:rPr>
        <w:t>标准编制原则和确定标准主要内容的依据</w:t>
      </w:r>
    </w:p>
    <w:p w14:paraId="3E2B87E6">
      <w:pPr>
        <w:widowControl/>
        <w:shd w:val="clear" w:color="auto" w:fill="FFFFFF"/>
        <w:snapToGrid w:val="0"/>
        <w:spacing w:line="360" w:lineRule="auto"/>
        <w:ind w:firstLine="640" w:firstLineChars="200"/>
        <w:rPr>
          <w:rFonts w:ascii="楷体_GB2312" w:hAnsi="楷体_GB2312" w:eastAsia="楷体_GB2312" w:cs="楷体_GB2312"/>
          <w:color w:val="000000"/>
          <w:sz w:val="32"/>
        </w:rPr>
      </w:pPr>
      <w:r>
        <w:rPr>
          <w:rFonts w:hint="eastAsia" w:ascii="楷体_GB2312" w:hAnsi="楷体_GB2312" w:eastAsia="楷体_GB2312" w:cs="楷体_GB2312"/>
          <w:color w:val="000000"/>
          <w:sz w:val="32"/>
          <w:szCs w:val="24"/>
        </w:rPr>
        <w:t>（一）</w:t>
      </w:r>
      <w:r>
        <w:rPr>
          <w:rFonts w:hint="eastAsia" w:ascii="楷体_GB2312" w:hAnsi="楷体_GB2312" w:eastAsia="楷体_GB2312" w:cs="楷体_GB2312"/>
          <w:b w:val="0"/>
          <w:bCs w:val="0"/>
          <w:color w:val="000000"/>
          <w:sz w:val="32"/>
        </w:rPr>
        <w:t>标准编制原则</w:t>
      </w:r>
    </w:p>
    <w:p w14:paraId="13B78C92">
      <w:pPr>
        <w:widowControl/>
        <w:shd w:val="clear" w:color="auto" w:fill="FFFFFF"/>
        <w:snapToGrid w:val="0"/>
        <w:spacing w:line="360" w:lineRule="auto"/>
        <w:ind w:firstLine="640" w:firstLineChars="200"/>
        <w:rPr>
          <w:rFonts w:eastAsia="仿宋_GB2312"/>
          <w:color w:val="000000"/>
          <w:sz w:val="32"/>
        </w:rPr>
      </w:pPr>
      <w:r>
        <w:rPr>
          <w:rFonts w:eastAsia="仿宋_GB2312"/>
          <w:color w:val="000000"/>
          <w:sz w:val="32"/>
        </w:rPr>
        <w:t>1. 规范性原则</w:t>
      </w:r>
    </w:p>
    <w:p w14:paraId="6E793278">
      <w:pPr>
        <w:widowControl/>
        <w:shd w:val="clear" w:color="auto" w:fill="FFFFFF"/>
        <w:snapToGrid w:val="0"/>
        <w:spacing w:line="360" w:lineRule="auto"/>
        <w:ind w:firstLine="640" w:firstLineChars="200"/>
        <w:rPr>
          <w:rFonts w:ascii="楷体_GB2312" w:hAnsi="楷体_GB2312" w:eastAsia="楷体_GB2312" w:cs="楷体_GB2312"/>
          <w:color w:val="000000"/>
          <w:sz w:val="32"/>
        </w:rPr>
      </w:pPr>
      <w:r>
        <w:rPr>
          <w:rFonts w:eastAsia="仿宋_GB2312"/>
          <w:color w:val="000000"/>
          <w:sz w:val="32"/>
          <w:szCs w:val="22"/>
        </w:rPr>
        <w:t>本标准编写格式遵循中华人民共和国国家标准GB/T 1.1—2020《标准化工作导则  第1部分：标准化文件的结构和起草规则》的规定。</w:t>
      </w:r>
    </w:p>
    <w:p w14:paraId="7E395C7B">
      <w:pPr>
        <w:widowControl/>
        <w:numPr>
          <w:ilvl w:val="0"/>
          <w:numId w:val="0"/>
        </w:numPr>
        <w:shd w:val="clear" w:color="auto" w:fill="FFFFFF"/>
        <w:snapToGrid w:val="0"/>
        <w:spacing w:line="360" w:lineRule="auto"/>
        <w:ind w:firstLine="640" w:firstLineChars="200"/>
        <w:rPr>
          <w:rFonts w:eastAsia="仿宋_GB2312"/>
          <w:color w:val="000000"/>
          <w:sz w:val="32"/>
        </w:rPr>
      </w:pPr>
      <w:r>
        <w:rPr>
          <w:rFonts w:hint="eastAsia" w:eastAsia="仿宋_GB2312"/>
          <w:color w:val="000000"/>
          <w:sz w:val="32"/>
        </w:rPr>
        <w:t>2.</w:t>
      </w:r>
      <w:r>
        <w:rPr>
          <w:rFonts w:eastAsia="仿宋_GB2312"/>
          <w:color w:val="000000"/>
          <w:sz w:val="32"/>
        </w:rPr>
        <w:t>协调性和一致性原则</w:t>
      </w:r>
    </w:p>
    <w:p w14:paraId="5B811234">
      <w:pPr>
        <w:snapToGrid w:val="0"/>
        <w:spacing w:line="360" w:lineRule="auto"/>
        <w:ind w:firstLine="640" w:firstLineChars="200"/>
        <w:rPr>
          <w:rFonts w:eastAsia="仿宋_GB2312"/>
          <w:color w:val="000000"/>
          <w:sz w:val="32"/>
          <w:szCs w:val="22"/>
        </w:rPr>
      </w:pPr>
      <w:r>
        <w:rPr>
          <w:rFonts w:eastAsia="仿宋_GB2312"/>
          <w:color w:val="000000"/>
          <w:sz w:val="32"/>
          <w:szCs w:val="22"/>
        </w:rPr>
        <w:t>本标准编制过程中，查阅并参考了相关基础标准和国家相关法律法规、规范的有关要求，确保本标准与现行法律、法规和相关标准的要求保持一致。</w:t>
      </w:r>
    </w:p>
    <w:p w14:paraId="5ED7CB5F">
      <w:pPr>
        <w:numPr>
          <w:ilvl w:val="0"/>
          <w:numId w:val="0"/>
        </w:numPr>
        <w:snapToGrid w:val="0"/>
        <w:spacing w:line="360" w:lineRule="auto"/>
        <w:ind w:firstLine="640" w:firstLineChars="200"/>
        <w:rPr>
          <w:rFonts w:eastAsia="仿宋_GB2312"/>
          <w:color w:val="000000"/>
          <w:sz w:val="32"/>
          <w:szCs w:val="22"/>
        </w:rPr>
      </w:pPr>
      <w:r>
        <w:rPr>
          <w:rFonts w:hint="eastAsia" w:eastAsia="仿宋_GB2312"/>
          <w:color w:val="000000"/>
          <w:sz w:val="32"/>
          <w:szCs w:val="22"/>
        </w:rPr>
        <w:t>3.</w:t>
      </w:r>
      <w:r>
        <w:rPr>
          <w:rFonts w:eastAsia="仿宋_GB2312"/>
          <w:color w:val="000000"/>
          <w:sz w:val="32"/>
          <w:szCs w:val="22"/>
        </w:rPr>
        <w:t>实践性原则</w:t>
      </w:r>
    </w:p>
    <w:p w14:paraId="3D062D5B">
      <w:pPr>
        <w:snapToGrid w:val="0"/>
        <w:spacing w:line="360" w:lineRule="auto"/>
        <w:ind w:firstLine="640" w:firstLineChars="200"/>
        <w:rPr>
          <w:rFonts w:eastAsia="仿宋_GB2312"/>
          <w:color w:val="000000"/>
          <w:sz w:val="32"/>
          <w:szCs w:val="22"/>
        </w:rPr>
      </w:pPr>
      <w:r>
        <w:rPr>
          <w:rFonts w:eastAsia="仿宋_GB2312"/>
          <w:color w:val="000000"/>
          <w:sz w:val="32"/>
          <w:szCs w:val="22"/>
        </w:rPr>
        <w:t>本标准起草过程中，充分提炼了前期开展儿童青少年健康监测的工作经验，并通过调研全面了解目前我市儿童青少年健康监测的现状，包括仪器、流程和质控经验，参考全国学生常见病监测工作手册，充分考虑我市在监测过程中需要加强规范化管理的重点，制定全面的、操作性强的监测规范。</w:t>
      </w:r>
    </w:p>
    <w:p w14:paraId="2826D939">
      <w:pPr>
        <w:widowControl/>
        <w:shd w:val="clear" w:color="auto" w:fill="FFFFFF"/>
        <w:snapToGrid w:val="0"/>
        <w:spacing w:line="360" w:lineRule="auto"/>
        <w:ind w:firstLine="640" w:firstLineChars="200"/>
        <w:rPr>
          <w:rFonts w:ascii="楷体_GB2312" w:hAnsi="楷体_GB2312" w:eastAsia="楷体_GB2312" w:cs="楷体_GB2312"/>
          <w:color w:val="000000"/>
          <w:sz w:val="32"/>
        </w:rPr>
      </w:pPr>
      <w:r>
        <w:rPr>
          <w:rFonts w:ascii="楷体_GB2312" w:hAnsi="楷体_GB2312" w:eastAsia="楷体_GB2312" w:cs="楷体_GB2312"/>
          <w:color w:val="000000"/>
          <w:sz w:val="32"/>
        </w:rPr>
        <w:t>（二）</w:t>
      </w:r>
      <w:r>
        <w:rPr>
          <w:rFonts w:hint="eastAsia" w:ascii="楷体_GB2312" w:hAnsi="楷体_GB2312" w:eastAsia="楷体_GB2312" w:cs="楷体_GB2312"/>
          <w:color w:val="000000"/>
          <w:sz w:val="32"/>
        </w:rPr>
        <w:t>确定标准主要内容的依据</w:t>
      </w:r>
    </w:p>
    <w:p w14:paraId="6EEFB73A">
      <w:pPr>
        <w:widowControl/>
        <w:shd w:val="clear" w:color="auto" w:fill="FFFFFF"/>
        <w:snapToGrid w:val="0"/>
        <w:spacing w:line="360" w:lineRule="auto"/>
        <w:ind w:firstLine="640" w:firstLineChars="200"/>
        <w:rPr>
          <w:rFonts w:eastAsia="仿宋_GB2312"/>
          <w:color w:val="000000"/>
          <w:sz w:val="32"/>
          <w:szCs w:val="22"/>
        </w:rPr>
      </w:pPr>
      <w:r>
        <w:rPr>
          <w:rFonts w:eastAsia="仿宋_GB2312"/>
          <w:color w:val="000000"/>
          <w:sz w:val="32"/>
          <w:szCs w:val="22"/>
        </w:rPr>
        <w:t>本标准主要依据的法律法规和文件有</w:t>
      </w:r>
      <w:r>
        <w:rPr>
          <w:rFonts w:hint="eastAsia" w:eastAsia="仿宋_GB2312"/>
          <w:color w:val="000000"/>
          <w:sz w:val="32"/>
          <w:szCs w:val="22"/>
        </w:rPr>
        <w:t>《中华人民共和国教育法</w:t>
      </w:r>
      <w:r>
        <w:rPr>
          <w:rFonts w:hint="eastAsia" w:eastAsia="仿宋_GB2312"/>
          <w:color w:val="000000"/>
          <w:sz w:val="32"/>
          <w:szCs w:val="22"/>
          <w:lang w:eastAsia="zh-CN"/>
        </w:rPr>
        <w:t>》《</w:t>
      </w:r>
      <w:r>
        <w:rPr>
          <w:rFonts w:hint="eastAsia" w:eastAsia="仿宋_GB2312"/>
          <w:color w:val="000000"/>
          <w:sz w:val="32"/>
          <w:szCs w:val="22"/>
        </w:rPr>
        <w:t>学校卫生工作条例</w:t>
      </w:r>
      <w:r>
        <w:rPr>
          <w:rFonts w:hint="eastAsia" w:eastAsia="仿宋_GB2312"/>
          <w:color w:val="000000"/>
          <w:sz w:val="32"/>
          <w:szCs w:val="22"/>
          <w:lang w:eastAsia="zh-CN"/>
        </w:rPr>
        <w:t>》《</w:t>
      </w:r>
      <w:r>
        <w:rPr>
          <w:rFonts w:hint="eastAsia" w:eastAsia="仿宋_GB2312"/>
          <w:color w:val="000000"/>
          <w:sz w:val="32"/>
          <w:szCs w:val="22"/>
        </w:rPr>
        <w:t>关于加强和改进新时代学校卫生工作与健康教育工作的意见》《中小学生健康体检管理办法（2021年版）》《学校卫生监督工作规范》《</w:t>
      </w:r>
      <w:r>
        <w:rPr>
          <w:rFonts w:hint="eastAsia" w:ascii="楷体_GB2312" w:hAnsi="楷体_GB2312" w:eastAsia="楷体_GB2312" w:cs="楷体_GB2312"/>
          <w:color w:val="000000"/>
          <w:sz w:val="32"/>
          <w:szCs w:val="24"/>
        </w:rPr>
        <w:t>202</w:t>
      </w:r>
      <w:r>
        <w:rPr>
          <w:rFonts w:hint="eastAsia" w:ascii="楷体_GB2312" w:hAnsi="楷体_GB2312" w:eastAsia="楷体_GB2312" w:cs="楷体_GB2312"/>
          <w:color w:val="000000"/>
          <w:sz w:val="32"/>
          <w:szCs w:val="24"/>
          <w:lang w:eastAsia="zh-CN"/>
        </w:rPr>
        <w:t>4</w:t>
      </w:r>
      <w:r>
        <w:rPr>
          <w:rFonts w:hint="eastAsia" w:eastAsia="仿宋_GB2312"/>
          <w:color w:val="000000"/>
          <w:sz w:val="32"/>
          <w:szCs w:val="22"/>
        </w:rPr>
        <w:t>年全国学生常见病和健康影响因素监测与干预工作方案》等。</w:t>
      </w:r>
    </w:p>
    <w:p w14:paraId="40897F08">
      <w:pPr>
        <w:widowControl/>
        <w:numPr>
          <w:ilvl w:val="255"/>
          <w:numId w:val="0"/>
        </w:numPr>
        <w:shd w:val="clear" w:color="auto" w:fill="FFFFFF"/>
        <w:snapToGrid w:val="0"/>
        <w:spacing w:line="360" w:lineRule="auto"/>
        <w:ind w:firstLine="640" w:firstLineChars="200"/>
        <w:rPr>
          <w:rFonts w:eastAsia="仿宋_GB2312"/>
          <w:color w:val="000000"/>
          <w:sz w:val="32"/>
          <w:szCs w:val="22"/>
        </w:rPr>
      </w:pPr>
      <w:r>
        <w:rPr>
          <w:rFonts w:hint="eastAsia" w:eastAsia="仿宋_GB2312"/>
          <w:color w:val="000000"/>
          <w:sz w:val="32"/>
          <w:szCs w:val="22"/>
        </w:rPr>
        <w:t>本标准主要引用了以下标准的部分条款或内容：GB/T26343</w:t>
      </w:r>
      <w:r>
        <w:rPr>
          <w:rFonts w:hint="eastAsia" w:eastAsia="仿宋_GB2312"/>
          <w:color w:val="000000"/>
          <w:sz w:val="32"/>
          <w:szCs w:val="22"/>
        </w:rPr>
        <w:tab/>
      </w:r>
      <w:r>
        <w:rPr>
          <w:rFonts w:hint="eastAsia" w:eastAsia="仿宋_GB2312"/>
          <w:color w:val="000000"/>
          <w:sz w:val="32"/>
          <w:szCs w:val="22"/>
        </w:rPr>
        <w:t>学生健康检查技术规范、WS/T612</w:t>
      </w:r>
      <w:r>
        <w:rPr>
          <w:rFonts w:hint="eastAsia" w:eastAsia="仿宋_GB2312"/>
          <w:color w:val="000000"/>
          <w:sz w:val="32"/>
          <w:szCs w:val="22"/>
          <w:lang w:val="en-US" w:eastAsia="zh-CN"/>
        </w:rPr>
        <w:t xml:space="preserve"> </w:t>
      </w:r>
      <w:r>
        <w:rPr>
          <w:rFonts w:hint="eastAsia" w:eastAsia="仿宋_GB2312"/>
          <w:color w:val="000000"/>
          <w:sz w:val="32"/>
          <w:szCs w:val="22"/>
        </w:rPr>
        <w:t>7岁～18岁儿童青少年身高发育等级评价、WS/T456  学龄儿童青少年营养不良筛查、WS/T586  学龄儿童青少年超重与肥胖筛查、WS/T611  7岁～18岁儿童青少年高腰围筛查界值、WS/T610  7 岁～18 岁儿童青少年血压偏高筛查界值、GB/T16133  儿童青少年脊柱弯曲异常的筛查、GB/T11533</w:t>
      </w:r>
      <w:r>
        <w:rPr>
          <w:rFonts w:hint="eastAsia" w:eastAsia="仿宋_GB2312"/>
          <w:color w:val="000000"/>
          <w:sz w:val="32"/>
          <w:szCs w:val="22"/>
        </w:rPr>
        <w:tab/>
      </w:r>
      <w:r>
        <w:rPr>
          <w:rFonts w:hint="eastAsia" w:eastAsia="仿宋_GB2312"/>
          <w:color w:val="000000"/>
          <w:sz w:val="32"/>
          <w:szCs w:val="22"/>
        </w:rPr>
        <w:t>标准对数视力表、YY0673</w:t>
      </w:r>
      <w:r>
        <w:rPr>
          <w:rFonts w:hint="eastAsia" w:eastAsia="仿宋_GB2312"/>
          <w:color w:val="000000"/>
          <w:sz w:val="32"/>
          <w:szCs w:val="22"/>
        </w:rPr>
        <w:tab/>
      </w:r>
      <w:r>
        <w:rPr>
          <w:rFonts w:hint="eastAsia" w:eastAsia="仿宋_GB2312"/>
          <w:color w:val="000000"/>
          <w:sz w:val="32"/>
          <w:szCs w:val="22"/>
        </w:rPr>
        <w:t xml:space="preserve"> 眼科仪器验光仪、GB31177  学生宿舍卫生要求及管理规范、GB50099  中小学校设计规范、GB/T18205  学校卫生综合评价、GB/T3976</w:t>
      </w:r>
      <w:r>
        <w:rPr>
          <w:rFonts w:hint="eastAsia" w:eastAsia="仿宋_GB2312"/>
          <w:color w:val="000000"/>
          <w:sz w:val="32"/>
          <w:szCs w:val="22"/>
        </w:rPr>
        <w:tab/>
      </w:r>
      <w:r>
        <w:rPr>
          <w:rFonts w:hint="eastAsia" w:eastAsia="仿宋_GB2312"/>
          <w:color w:val="000000"/>
          <w:sz w:val="32"/>
          <w:szCs w:val="22"/>
        </w:rPr>
        <w:t>学校课桌椅功能尺寸及技术要求、GB/T5700</w:t>
      </w:r>
      <w:r>
        <w:rPr>
          <w:rFonts w:hint="eastAsia" w:eastAsia="仿宋_GB2312"/>
          <w:color w:val="000000"/>
          <w:sz w:val="32"/>
          <w:szCs w:val="22"/>
        </w:rPr>
        <w:tab/>
      </w:r>
      <w:r>
        <w:rPr>
          <w:rFonts w:hint="eastAsia" w:eastAsia="仿宋_GB2312"/>
          <w:color w:val="000000"/>
          <w:sz w:val="32"/>
          <w:szCs w:val="22"/>
        </w:rPr>
        <w:t>照明测量方法、GB7793</w:t>
      </w:r>
      <w:r>
        <w:rPr>
          <w:rFonts w:hint="eastAsia" w:eastAsia="仿宋_GB2312"/>
          <w:color w:val="000000"/>
          <w:sz w:val="32"/>
          <w:szCs w:val="22"/>
        </w:rPr>
        <w:tab/>
      </w:r>
      <w:r>
        <w:rPr>
          <w:rFonts w:hint="eastAsia" w:eastAsia="仿宋_GB2312"/>
          <w:color w:val="000000"/>
          <w:sz w:val="32"/>
          <w:szCs w:val="22"/>
        </w:rPr>
        <w:t xml:space="preserve"> 中小学校教室采光和照明卫生标准、GB/T5699</w:t>
      </w:r>
      <w:r>
        <w:rPr>
          <w:rFonts w:hint="eastAsia" w:eastAsia="仿宋_GB2312"/>
          <w:color w:val="000000"/>
          <w:sz w:val="32"/>
          <w:szCs w:val="22"/>
        </w:rPr>
        <w:tab/>
      </w:r>
      <w:r>
        <w:rPr>
          <w:rFonts w:hint="eastAsia" w:eastAsia="仿宋_GB2312"/>
          <w:color w:val="000000"/>
          <w:sz w:val="32"/>
          <w:szCs w:val="22"/>
        </w:rPr>
        <w:t>采光测量方法、GB/T18204.1  公共场所卫生检验方法第1部分：物理因素、GB/T17225   中小学校采暖教室微小气候卫生要求、GB/T18204.2  公共场所卫生检验方法 第2部分：化学污染物、GB/T17226  中小学校教室换气卫生要求、RB/T208  化学实验室内部质量控制比对试验、WS/T367  医疗机构消毒技术规范、GB15982  医院消毒卫生标准、GB/T7722  电子台案秤、JJG692  无创自动测量血压计、JJG966  手持式激光测距仪、JJG635  一氧化碳、二氧化碳红外气体分析器。</w:t>
      </w:r>
    </w:p>
    <w:p w14:paraId="570779F5">
      <w:pPr>
        <w:pStyle w:val="2"/>
        <w:numPr>
          <w:ilvl w:val="255"/>
          <w:numId w:val="0"/>
        </w:numPr>
        <w:spacing w:before="0" w:line="360" w:lineRule="auto"/>
        <w:ind w:firstLine="640" w:firstLineChars="200"/>
        <w:rPr>
          <w:rFonts w:cs="黑体"/>
          <w:color w:val="000000"/>
        </w:rPr>
      </w:pPr>
      <w:r>
        <w:rPr>
          <w:rFonts w:hint="eastAsia" w:cs="黑体"/>
        </w:rPr>
        <w:t>三、</w:t>
      </w:r>
      <w:r>
        <w:rPr>
          <w:rFonts w:hint="eastAsia" w:ascii="黑体" w:hAnsi="黑体" w:eastAsia="黑体" w:cs="黑体"/>
          <w:color w:val="000000"/>
          <w:szCs w:val="24"/>
        </w:rPr>
        <w:t>主要试验分析、综述报告，技术经济论证，预期经济社会生态效益分析</w:t>
      </w:r>
    </w:p>
    <w:p w14:paraId="0723D2E5">
      <w:pPr>
        <w:spacing w:before="0"/>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（一）现状和问题</w:t>
      </w:r>
    </w:p>
    <w:p w14:paraId="49A3B3DC">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近年来，辽宁省中小学生健康问题形势严峻，各类常见</w:t>
      </w:r>
      <w:r>
        <w:rPr>
          <w:rFonts w:hint="default" w:ascii="Times New Roman" w:hAnsi="Times New Roman" w:eastAsia="仿宋_GB2312" w:cs="Times New Roman"/>
          <w:sz w:val="32"/>
          <w:szCs w:val="32"/>
        </w:rPr>
        <w:t>病呈现低龄化和严重化趋势，给学生身心健康和全面发展带来诸多不利影响，引起了社会各界的高度关注。根据辽宁省疾病预防控制中心在</w:t>
      </w:r>
      <w:r>
        <w:rPr>
          <w:rFonts w:ascii="Times New Roman" w:hAnsi="Times New Roman" w:eastAsia="仿宋_GB2312" w:cs="Times New Roman"/>
          <w:sz w:val="32"/>
          <w:szCs w:val="32"/>
        </w:rPr>
        <w:t>全省范围内针对中小学校开展的大规模抽样调查结果显示，2024年，辽宁省小学、初中、高中学生的近视检出率分别达到了38.82%、73.66%和81.56%，肥胖检出率也分别高达28.60%、25.84%和20.79%。这些数据表明，近视和肥胖已经成为辽宁省中小学生中较为突出的健康问题，且随着学段的升高，患病率呈现明显的上升趋势。此外，脊柱弯曲异常、龋齿、血压偏高等健康问题也在学生群体中较为常见，严重影响了儿童青少年的正常生长发育和身心健康，成为制约健康中国建设进程的重要因素之一。</w:t>
      </w:r>
    </w:p>
    <w:p w14:paraId="039DD4EE">
      <w:pPr>
        <w:spacing w:line="360" w:lineRule="auto"/>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目前，辽宁省虽然每年都在中小学校中开展大量的健康监测工作，但这些工作缺乏一套规范、统一的标准来指导和约束。2022年1月，辽宁省政府颁布实施了《辽宁省儿童发展规划（2021 - 2030年）》，明确提出要完善学生健康体检和体质监测制度，建立学生体质健康档案，以加强对学生健康的管理和监测。</w:t>
      </w:r>
      <w:r>
        <w:rPr>
          <w:rFonts w:hint="eastAsia" w:ascii="Times New Roman" w:hAnsi="Times New Roman" w:eastAsia="仿宋_GB2312" w:cs="Times New Roman"/>
          <w:sz w:val="32"/>
          <w:szCs w:val="32"/>
          <w:lang w:val="en-US" w:eastAsia="zh-CN"/>
        </w:rPr>
        <w:t>但</w:t>
      </w:r>
      <w:r>
        <w:rPr>
          <w:rFonts w:ascii="Times New Roman" w:hAnsi="Times New Roman" w:eastAsia="仿宋_GB2312" w:cs="Times New Roman"/>
          <w:sz w:val="32"/>
          <w:szCs w:val="32"/>
        </w:rPr>
        <w:t>现有的相关国家标准，如《学生健康检查技术规范》（GB/T 26343 - 2010）和《学校卫生综合评价》（GB/T 18205 - 2012），在内容和要求上存在一定的局限性，无法全面、细致地满足辽宁省中小学生健康监测工作的实际需求。例如《学生健康检查技术规范》侧重于对学生各项检查项目的基本技术要</w:t>
      </w:r>
      <w:r>
        <w:rPr>
          <w:rFonts w:hint="eastAsia" w:ascii="仿宋_GB2312" w:hAnsi="仿宋_GB2312" w:eastAsia="仿宋_GB2312" w:cs="仿宋_GB2312"/>
          <w:sz w:val="32"/>
          <w:szCs w:val="32"/>
        </w:rPr>
        <w:t>求，但对于开展在校学生群体健康监测时所需的场地、仪器设备、人员配备、检查流程、质量控制以及卫生应急和感染防控等方面的要求并未充分考虑；《学校卫生综合评价》则主要规定了部分卫生学指标的评价标准，未对监测的频次、设备和人员以及结果判定等提出全面的技术要求。因此，为了提高辽宁省中小学生健康监测工作的规范化和标准化水平，制定一套适合本省实际情况的中小学生健康监测技术规范显得尤为迫切和必要。</w:t>
      </w:r>
    </w:p>
    <w:p w14:paraId="254F8BC9">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（二）标准制定的可行性</w:t>
      </w:r>
    </w:p>
    <w:p w14:paraId="3B156338">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在国内，</w:t>
      </w:r>
      <w:r>
        <w:rPr>
          <w:rFonts w:ascii="Times New Roman" w:hAnsi="Times New Roman" w:eastAsia="仿宋_GB2312" w:cs="Times New Roman"/>
          <w:sz w:val="32"/>
          <w:szCs w:val="32"/>
        </w:rPr>
        <w:t>各省市中小学生常见病患病率总体呈上升趋势，引起广泛关注。2018年以来，国家高度重视中小学生常见病防控工作，相关的政</w:t>
      </w:r>
      <w:r>
        <w:rPr>
          <w:rFonts w:hint="eastAsia" w:ascii="仿宋_GB2312" w:hAnsi="仿宋_GB2312" w:eastAsia="仿宋_GB2312" w:cs="仿宋_GB2312"/>
          <w:sz w:val="32"/>
          <w:szCs w:val="32"/>
        </w:rPr>
        <w:t>策文件陆续出台。但大部分省市缺乏完善的中小学生健康监测参考标准，主要参考的国家标准多为指导性原则，可操作性不强，对监测的人员、设备、流程、质量控制、感染防控等方面没有详细规定。</w:t>
      </w:r>
    </w:p>
    <w:p w14:paraId="76673431">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际上，部分发达国家在学生健康监测方面有较为成熟的经验。例如，美国有较为完善的学生健康监测体系，涵盖身体健康、心理健康等多个维度，且监测技术和评价标准较为先进；日本对学生健康监测也较为重视，有详细的学生健康检查制度和学校保健工作体系。然而，由于不同国家在教育体制、卫生体系、文化背景以及学生健康状况等方面存在显著差异，辽宁省在制定相关标准时不能简单地照搬国外模式，而应结合我省实际情况，充分考虑自身的教育、卫生资源状况以及学生健康特点，制定出一套既符合国际先进理念又具有地方特色的中小学生健康监测技术规范，以提高辽宁省中小学生健康监测工作的科学性、规范性和有效性，为保障中小学生身心健康、促进教育事业全面发展提供有力支持。</w:t>
      </w:r>
    </w:p>
    <w:p w14:paraId="4D55CCCB">
      <w:pPr>
        <w:spacing w:line="360" w:lineRule="auto"/>
        <w:ind w:firstLine="640" w:firstLineChars="200"/>
        <w:rPr>
          <w:rFonts w:hint="eastAsia" w:ascii="楷体_GB2312" w:hAnsi="仿宋_GB2312" w:eastAsia="楷体_GB2312" w:cs="仿宋_GB2312"/>
          <w:color w:val="auto"/>
          <w:sz w:val="32"/>
          <w:szCs w:val="32"/>
        </w:rPr>
      </w:pPr>
      <w:r>
        <w:rPr>
          <w:rFonts w:hint="eastAsia" w:ascii="楷体_GB2312" w:hAnsi="仿宋_GB2312" w:eastAsia="楷体_GB2312" w:cs="仿宋_GB2312"/>
          <w:sz w:val="32"/>
          <w:szCs w:val="32"/>
        </w:rPr>
        <w:t>（三）标准拟解决的主要问题</w:t>
      </w:r>
    </w:p>
    <w:p w14:paraId="5C72426E">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一是完善中小学生健康监测的具体内容。参照《中小学生健康体检管理办法（2021年版）》，结合现阶段我省中小学生常见的健康问题，对体检项目进行了细化。</w:t>
      </w:r>
    </w:p>
    <w:p w14:paraId="12E09EBD">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二是提出中小学生健康监测的技术要求。对中小学生健康监测项目，在具体检查方法、仪器和设备、评判标准和结果记录方面做出技术要求。</w:t>
      </w:r>
    </w:p>
    <w:p w14:paraId="2B4C06BE">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三是设计中小学生健康监测调查表。</w:t>
      </w:r>
    </w:p>
    <w:p w14:paraId="39C15AFE">
      <w:pPr>
        <w:spacing w:line="360" w:lineRule="auto"/>
        <w:ind w:firstLine="640" w:firstLineChars="200"/>
        <w:rPr>
          <w:rFonts w:hint="eastAsia" w:ascii="楷体_GB2312" w:hAnsi="仿宋_GB2312" w:eastAsia="楷体_GB2312" w:cs="仿宋_GB2312"/>
          <w:sz w:val="32"/>
          <w:szCs w:val="32"/>
        </w:rPr>
      </w:pPr>
      <w:r>
        <w:rPr>
          <w:rFonts w:hint="eastAsia" w:ascii="楷体_GB2312" w:hAnsi="仿宋_GB2312" w:eastAsia="楷体_GB2312" w:cs="仿宋_GB2312"/>
          <w:sz w:val="32"/>
          <w:szCs w:val="32"/>
        </w:rPr>
        <w:t>（四）标准的预期效益</w:t>
      </w:r>
    </w:p>
    <w:p w14:paraId="384454DB">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该规范将应用于全省4797余所学校约390万名中小学生的健康监测，为医疗机构等健康监测机构提供技术支撑，全面提高监测的准确性和有效性，为中小学生常见病防控提供精准、科学的数据支撑。</w:t>
      </w:r>
    </w:p>
    <w:p w14:paraId="74A55776">
      <w:pPr>
        <w:pStyle w:val="2"/>
        <w:numPr>
          <w:ilvl w:val="255"/>
          <w:numId w:val="0"/>
        </w:numPr>
        <w:snapToGrid w:val="0"/>
        <w:spacing w:before="0" w:line="360" w:lineRule="auto"/>
        <w:ind w:firstLine="640" w:firstLineChars="200"/>
        <w:rPr>
          <w:rFonts w:hint="eastAsia" w:eastAsia="黑体" w:cs="黑体"/>
          <w:color w:val="000000"/>
          <w:sz w:val="32"/>
        </w:rPr>
      </w:pPr>
      <w:r>
        <w:rPr>
          <w:rFonts w:hint="eastAsia" w:eastAsia="黑体" w:cs="黑体"/>
          <w:color w:val="000000"/>
          <w:szCs w:val="24"/>
        </w:rPr>
        <w:t>四、</w:t>
      </w:r>
      <w:r>
        <w:rPr>
          <w:rFonts w:hint="eastAsia" w:eastAsia="黑体" w:cs="黑体"/>
          <w:color w:val="000000"/>
        </w:rPr>
        <w:t>与现行法律、法规、标准的关系</w:t>
      </w:r>
    </w:p>
    <w:p w14:paraId="6F2D6DA2">
      <w:pPr>
        <w:widowControl w:val="0"/>
        <w:numPr>
          <w:ilvl w:val="0"/>
          <w:numId w:val="0"/>
        </w:numPr>
        <w:snapToGrid/>
        <w:spacing w:line="360" w:lineRule="auto"/>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本标准编写过程中研读了《中华人民共和国教育法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学校卫生工作条例》，确保内容合法合规。标准的格式、内容等严格按照GB/T 1.1—2020《标准化工作导则  第1部分：标准化文件的结构和起草规则》的要求编写。</w:t>
      </w:r>
    </w:p>
    <w:p w14:paraId="35416EAE">
      <w:pPr>
        <w:widowControl w:val="0"/>
        <w:numPr>
          <w:ilvl w:val="0"/>
          <w:numId w:val="0"/>
        </w:numPr>
        <w:snapToGrid/>
        <w:spacing w:line="360" w:lineRule="auto"/>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本标准对以下国家标准和行业标准进行规范引用，与现行标准中的内容无冲突。</w:t>
      </w:r>
    </w:p>
    <w:p w14:paraId="6588ED48">
      <w:pPr>
        <w:widowControl/>
        <w:numPr>
          <w:ilvl w:val="255"/>
          <w:numId w:val="0"/>
        </w:numPr>
        <w:snapToGrid w:val="0"/>
        <w:spacing w:line="360" w:lineRule="auto"/>
        <w:ind w:firstLine="0" w:firstLineChars="0"/>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《辽宁省中小学生健康监测技术规范》引用标准说明表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9"/>
        <w:gridCol w:w="5773"/>
      </w:tblGrid>
      <w:tr w14:paraId="1749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49" w:type="dxa"/>
            <w:vAlign w:val="center"/>
          </w:tcPr>
          <w:p w14:paraId="243BD6B3">
            <w:pPr>
              <w:widowControl/>
              <w:numPr>
                <w:ilvl w:val="255"/>
                <w:numId w:val="0"/>
              </w:numPr>
              <w:snapToGrid w:val="0"/>
              <w:spacing w:line="36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内容</w:t>
            </w:r>
          </w:p>
        </w:tc>
        <w:tc>
          <w:tcPr>
            <w:tcW w:w="5773" w:type="dxa"/>
            <w:vAlign w:val="center"/>
          </w:tcPr>
          <w:p w14:paraId="601538E1">
            <w:pPr>
              <w:widowControl/>
              <w:numPr>
                <w:ilvl w:val="255"/>
                <w:numId w:val="0"/>
              </w:numPr>
              <w:snapToGrid w:val="0"/>
              <w:spacing w:line="360" w:lineRule="auto"/>
              <w:jc w:val="center"/>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引用标准</w:t>
            </w:r>
          </w:p>
        </w:tc>
      </w:tr>
      <w:tr w14:paraId="487F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9" w:type="dxa"/>
            <w:vAlign w:val="center"/>
          </w:tcPr>
          <w:p w14:paraId="03D24A18">
            <w:pPr>
              <w:widowControl/>
              <w:numPr>
                <w:ilvl w:val="255"/>
                <w:numId w:val="0"/>
              </w:numPr>
              <w:snapToGrid w:val="0"/>
              <w:spacing w:line="360" w:lineRule="auto"/>
              <w:jc w:val="left"/>
              <w:rPr>
                <w:rFonts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3.3 中小学校</w:t>
            </w:r>
          </w:p>
        </w:tc>
        <w:tc>
          <w:tcPr>
            <w:tcW w:w="5773" w:type="dxa"/>
            <w:vAlign w:val="center"/>
          </w:tcPr>
          <w:p w14:paraId="0879675F">
            <w:pPr>
              <w:widowControl/>
              <w:numPr>
                <w:ilvl w:val="255"/>
                <w:numId w:val="0"/>
              </w:numPr>
              <w:snapToGrid w:val="0"/>
              <w:spacing w:line="360" w:lineRule="auto"/>
              <w:rPr>
                <w:rFonts w:ascii="仿宋_GB2312" w:hAnsi="仿宋_GB2312" w:eastAsia="仿宋_GB2312" w:cs="仿宋_GB2312"/>
                <w:color w:val="000000"/>
                <w:sz w:val="21"/>
                <w:szCs w:val="21"/>
              </w:rPr>
            </w:pPr>
            <w:r>
              <w:rPr>
                <w:rFonts w:hint="eastAsia" w:ascii="仿宋_GB2312" w:hAnsi="仿宋_GB2312" w:eastAsia="仿宋_GB2312" w:cs="仿宋_GB2312"/>
                <w:color w:val="000000"/>
                <w:szCs w:val="21"/>
              </w:rPr>
              <w:t>参照GB50099 中小学校设计规范中关于中小学校的概念</w:t>
            </w:r>
            <w:r>
              <w:rPr>
                <w:rFonts w:hint="eastAsia" w:ascii="仿宋_GB2312" w:hAnsi="仿宋_GB2312" w:eastAsia="仿宋_GB2312" w:cs="仿宋_GB2312"/>
                <w:color w:val="000000"/>
                <w:sz w:val="21"/>
                <w:szCs w:val="21"/>
              </w:rPr>
              <w:t>。</w:t>
            </w:r>
          </w:p>
        </w:tc>
      </w:tr>
      <w:tr w14:paraId="4475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9" w:type="dxa"/>
            <w:vAlign w:val="center"/>
          </w:tcPr>
          <w:p w14:paraId="6319712C">
            <w:pPr>
              <w:pStyle w:val="2"/>
              <w:numPr>
                <w:ilvl w:val="0"/>
                <w:numId w:val="0"/>
              </w:numPr>
              <w:snapToGrid w:val="0"/>
              <w:spacing w:before="0" w:after="0" w:line="360"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6.1 中小学生常见病监测</w:t>
            </w:r>
          </w:p>
          <w:p w14:paraId="23E9F172">
            <w:pPr>
              <w:widowControl/>
              <w:numPr>
                <w:ilvl w:val="255"/>
                <w:numId w:val="0"/>
              </w:numPr>
              <w:snapToGrid w:val="0"/>
              <w:spacing w:line="360" w:lineRule="auto"/>
              <w:jc w:val="left"/>
              <w:rPr>
                <w:rFonts w:ascii="仿宋_GB2312" w:hAnsi="仿宋_GB2312" w:eastAsia="仿宋_GB2312" w:cs="仿宋_GB2312"/>
                <w:color w:val="000000"/>
                <w:sz w:val="21"/>
                <w:szCs w:val="21"/>
              </w:rPr>
            </w:pPr>
          </w:p>
        </w:tc>
        <w:tc>
          <w:tcPr>
            <w:tcW w:w="5773" w:type="dxa"/>
            <w:vAlign w:val="center"/>
          </w:tcPr>
          <w:p w14:paraId="0F147F40">
            <w:pPr>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GB/T26343的规定进行身高、腰围、臀围、心脏、肺、肝、脾、体重、头部、颈部、胸部、肺活量、四肢、皮肤、淋巴结、听力、外耳道与鼓膜、外鼻、嗅觉、扁桃体、沙眼、结膜炎、裸眼远视力和戴镜远视力的测量或检查，裸眼远视力的判定，进行龋齿的检查和无龋牙、龋齿、已充填牙有龋、已充填牙无龋、龋失牙的判定，牙周的检查、诊断与记分。</w:t>
            </w:r>
          </w:p>
          <w:p w14:paraId="2794A179">
            <w:pPr>
              <w:widowControl/>
              <w:numPr>
                <w:ilvl w:val="255"/>
                <w:numId w:val="0"/>
              </w:numPr>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按照WS/T612的规定进行身高发育等级的判定；</w:t>
            </w:r>
          </w:p>
          <w:p w14:paraId="7CD0D1E5">
            <w:pPr>
              <w:widowControl/>
              <w:numPr>
                <w:ilvl w:val="255"/>
                <w:numId w:val="0"/>
              </w:numPr>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按照WS/T456的规定进行营养不良的判定；</w:t>
            </w:r>
          </w:p>
          <w:p w14:paraId="5F1BA430">
            <w:pPr>
              <w:widowControl/>
              <w:numPr>
                <w:ilvl w:val="255"/>
                <w:numId w:val="0"/>
              </w:numPr>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按照WS/T586、WS/T456的规定计算BMI值并进行超重、肥胖和消瘦的判定；</w:t>
            </w:r>
          </w:p>
          <w:p w14:paraId="66C6419E">
            <w:pPr>
              <w:widowControl/>
              <w:numPr>
                <w:ilvl w:val="255"/>
                <w:numId w:val="0"/>
              </w:numPr>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按照WS/T611的规定进行正常腰围高值和高腰围判定；</w:t>
            </w:r>
          </w:p>
          <w:p w14:paraId="638DF1F4">
            <w:pPr>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按照WS/T610的规定进行正常高值血压和血压偏高判定；</w:t>
            </w:r>
          </w:p>
          <w:p w14:paraId="196B30C9">
            <w:pPr>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按照GB/T16133的规定进行脊柱侧弯和脊柱前后弯曲的检查和异常判定；</w:t>
            </w:r>
          </w:p>
          <w:p w14:paraId="44532BB7">
            <w:pPr>
              <w:widowControl/>
              <w:numPr>
                <w:ilvl w:val="255"/>
                <w:numId w:val="0"/>
              </w:numPr>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仪器使用符合YY0673要求的台式自动电脑验光仪和GB/T11533规定的标准对数视力表灯箱。</w:t>
            </w:r>
          </w:p>
        </w:tc>
      </w:tr>
      <w:tr w14:paraId="56A6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9" w:type="dxa"/>
            <w:vAlign w:val="center"/>
          </w:tcPr>
          <w:p w14:paraId="2E32341F">
            <w:pPr>
              <w:pStyle w:val="2"/>
              <w:numPr>
                <w:ilvl w:val="0"/>
                <w:numId w:val="0"/>
              </w:numPr>
              <w:snapToGrid w:val="0"/>
              <w:spacing w:before="0" w:after="0" w:line="360"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6.3  学校环境影响因素监测</w:t>
            </w:r>
          </w:p>
          <w:p w14:paraId="62ED58AC">
            <w:pPr>
              <w:widowControl/>
              <w:numPr>
                <w:ilvl w:val="255"/>
                <w:numId w:val="0"/>
              </w:numPr>
              <w:snapToGrid w:val="0"/>
              <w:spacing w:line="360" w:lineRule="auto"/>
              <w:jc w:val="left"/>
              <w:rPr>
                <w:rFonts w:ascii="仿宋_GB2312" w:hAnsi="仿宋_GB2312" w:eastAsia="仿宋_GB2312" w:cs="仿宋_GB2312"/>
                <w:color w:val="000000"/>
                <w:sz w:val="21"/>
                <w:szCs w:val="21"/>
              </w:rPr>
            </w:pPr>
          </w:p>
        </w:tc>
        <w:tc>
          <w:tcPr>
            <w:tcW w:w="5773" w:type="dxa"/>
            <w:vAlign w:val="center"/>
          </w:tcPr>
          <w:p w14:paraId="202C0FCB">
            <w:pPr>
              <w:autoSpaceDE w:val="0"/>
              <w:autoSpaceDN w:val="0"/>
              <w:adjustRightInd w:val="0"/>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引用GB31177中宿舍卫生监测内容；</w:t>
            </w:r>
          </w:p>
          <w:p w14:paraId="695A8B22">
            <w:pPr>
              <w:autoSpaceDE w:val="0"/>
              <w:autoSpaceDN w:val="0"/>
              <w:adjustRightInd w:val="0"/>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引用</w:t>
            </w:r>
            <w:r>
              <w:rPr>
                <w:rFonts w:ascii="仿宋_GB2312" w:hAnsi="仿宋_GB2312" w:eastAsia="仿宋_GB2312" w:cs="仿宋_GB2312"/>
                <w:color w:val="000000"/>
                <w:szCs w:val="21"/>
              </w:rPr>
              <w:t>GB50099</w:t>
            </w:r>
            <w:r>
              <w:rPr>
                <w:rFonts w:hint="eastAsia" w:ascii="仿宋_GB2312" w:hAnsi="仿宋_GB2312" w:eastAsia="仿宋_GB2312" w:cs="仿宋_GB2312"/>
                <w:color w:val="000000"/>
                <w:szCs w:val="21"/>
              </w:rPr>
              <w:t>卫生间监测、黑板尺寸测量内容；</w:t>
            </w:r>
          </w:p>
          <w:p w14:paraId="75F614A8">
            <w:pPr>
              <w:autoSpaceDE w:val="0"/>
              <w:autoSpaceDN w:val="0"/>
              <w:adjustRightInd w:val="0"/>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按照GB/T18205的规定进行教室人均面积测量和判定；</w:t>
            </w:r>
          </w:p>
          <w:p w14:paraId="56A2E1CB">
            <w:pPr>
              <w:autoSpaceDE w:val="0"/>
              <w:autoSpaceDN w:val="0"/>
              <w:adjustRightInd w:val="0"/>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按照GB/T3976的规定对课桌椅分配符合率进行测量和判定；</w:t>
            </w:r>
          </w:p>
          <w:p w14:paraId="505D5AF0">
            <w:pPr>
              <w:autoSpaceDE w:val="0"/>
              <w:autoSpaceDN w:val="0"/>
              <w:adjustRightInd w:val="0"/>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按照GB/T5700的规定测量黑板面平均照度、黑板反射比，按照GB7793的规定进行判定；</w:t>
            </w:r>
          </w:p>
          <w:p w14:paraId="497E66B6">
            <w:pPr>
              <w:autoSpaceDE w:val="0"/>
              <w:autoSpaceDN w:val="0"/>
              <w:adjustRightInd w:val="0"/>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采光系数仪器使用照度计，窗地面积比仪器使用手持式激光测距仪，按照GB/T18205的规定进行测量，按照GB7793的规定进行判定；</w:t>
            </w:r>
          </w:p>
          <w:p w14:paraId="4579E6D6">
            <w:pPr>
              <w:autoSpaceDE w:val="0"/>
              <w:autoSpaceDN w:val="0"/>
              <w:adjustRightInd w:val="0"/>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温度、相对湿度仪器使用温湿度计，风速仪器使用风速仪，按照GB/T18204.1的规定进行测量，按照GB/T17225的规定进行判定；</w:t>
            </w:r>
          </w:p>
          <w:p w14:paraId="51579B68">
            <w:pPr>
              <w:autoSpaceDE w:val="0"/>
              <w:autoSpaceDN w:val="0"/>
              <w:adjustRightInd w:val="0"/>
              <w:snapToGrid w:val="0"/>
              <w:spacing w:line="360" w:lineRule="auto"/>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噪声仪器使用数字声级计，按照GB/T18204.1和GB/T18205的规定进行测量，按照GB50099的规定进行判定；</w:t>
            </w:r>
          </w:p>
          <w:p w14:paraId="2CCA1867">
            <w:pPr>
              <w:widowControl w:val="0"/>
              <w:numPr>
                <w:ilvl w:val="255"/>
                <w:numId w:val="0"/>
              </w:numPr>
              <w:autoSpaceDE w:val="0"/>
              <w:autoSpaceDN w:val="0"/>
              <w:adjustRightInd w:val="0"/>
              <w:snapToGrid w:val="0"/>
              <w:spacing w:line="360" w:lineRule="auto"/>
              <w:rPr>
                <w:rFonts w:ascii="仿宋_GB2312" w:hAnsi="仿宋_GB2312" w:eastAsia="仿宋_GB2312" w:cs="仿宋_GB2312"/>
                <w:color w:val="000000"/>
                <w:sz w:val="21"/>
                <w:szCs w:val="21"/>
              </w:rPr>
            </w:pPr>
            <w:r>
              <w:rPr>
                <w:rFonts w:hint="eastAsia" w:ascii="仿宋_GB2312" w:hAnsi="仿宋_GB2312" w:eastAsia="仿宋_GB2312" w:cs="仿宋_GB2312"/>
                <w:color w:val="000000"/>
                <w:szCs w:val="21"/>
              </w:rPr>
              <w:t>二氧化碳仪器使用二氧化碳红外线气体检测仪，按照GB/T18204.2的规定进行测量，按照GB/T17226的规定进行判定。</w:t>
            </w:r>
          </w:p>
        </w:tc>
      </w:tr>
      <w:tr w14:paraId="67B4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2749" w:type="dxa"/>
            <w:vAlign w:val="center"/>
          </w:tcPr>
          <w:p w14:paraId="4B04324F">
            <w:pPr>
              <w:pStyle w:val="2"/>
              <w:widowControl/>
              <w:numPr>
                <w:ilvl w:val="0"/>
                <w:numId w:val="0"/>
              </w:numPr>
              <w:snapToGrid w:val="0"/>
              <w:spacing w:before="0" w:line="360" w:lineRule="auto"/>
              <w:jc w:val="left"/>
              <w:rPr>
                <w:rFonts w:ascii="仿宋_GB2312" w:hAnsi="仿宋_GB2312" w:eastAsia="仿宋_GB2312" w:cs="仿宋_GB2312"/>
                <w:color w:val="000000"/>
                <w:sz w:val="21"/>
                <w:szCs w:val="21"/>
              </w:rPr>
            </w:pPr>
            <w:r>
              <w:rPr>
                <w:rFonts w:ascii="仿宋_GB2312" w:hAnsi="仿宋_GB2312" w:eastAsia="仿宋_GB2312" w:cs="仿宋_GB2312"/>
                <w:sz w:val="21"/>
                <w:szCs w:val="21"/>
              </w:rPr>
              <w:t xml:space="preserve">7.2  </w:t>
            </w:r>
            <w:r>
              <w:rPr>
                <w:rFonts w:hint="eastAsia" w:ascii="仿宋_GB2312" w:hAnsi="仿宋_GB2312" w:eastAsia="仿宋_GB2312" w:cs="仿宋_GB2312"/>
                <w:sz w:val="21"/>
                <w:szCs w:val="21"/>
              </w:rPr>
              <w:t>场地要求</w:t>
            </w:r>
          </w:p>
        </w:tc>
        <w:tc>
          <w:tcPr>
            <w:tcW w:w="5773" w:type="dxa"/>
            <w:vAlign w:val="center"/>
          </w:tcPr>
          <w:p w14:paraId="753CA114">
            <w:pPr>
              <w:widowControl/>
              <w:numPr>
                <w:ilvl w:val="255"/>
                <w:numId w:val="0"/>
              </w:numPr>
              <w:snapToGrid w:val="0"/>
              <w:spacing w:line="360" w:lineRule="auto"/>
              <w:rPr>
                <w:rFonts w:ascii="仿宋_GB2312" w:hAnsi="仿宋_GB2312" w:eastAsia="仿宋_GB2312" w:cs="仿宋_GB2312"/>
                <w:color w:val="000000"/>
                <w:sz w:val="21"/>
                <w:szCs w:val="21"/>
              </w:rPr>
            </w:pPr>
            <w:r>
              <w:rPr>
                <w:rFonts w:hint="eastAsia" w:ascii="仿宋_GB2312" w:hAnsi="仿宋_GB2312" w:eastAsia="仿宋_GB2312" w:cs="仿宋_GB2312"/>
                <w:color w:val="000000"/>
                <w:szCs w:val="21"/>
              </w:rPr>
              <w:t>GB/T11533中关于视力表使用的检查距离及照明要求；</w:t>
            </w:r>
          </w:p>
        </w:tc>
      </w:tr>
      <w:tr w14:paraId="7005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49" w:type="dxa"/>
            <w:vAlign w:val="center"/>
          </w:tcPr>
          <w:p w14:paraId="60D16DB7">
            <w:pPr>
              <w:pStyle w:val="2"/>
              <w:widowControl/>
              <w:numPr>
                <w:ilvl w:val="0"/>
                <w:numId w:val="0"/>
              </w:numPr>
              <w:snapToGrid w:val="0"/>
              <w:spacing w:before="0" w:line="360" w:lineRule="auto"/>
              <w:jc w:val="left"/>
              <w:rPr>
                <w:rFonts w:ascii="仿宋_GB2312" w:hAnsi="仿宋_GB2312" w:eastAsia="仿宋_GB2312" w:cs="仿宋_GB2312"/>
                <w:color w:val="000000"/>
                <w:sz w:val="21"/>
                <w:szCs w:val="21"/>
              </w:rPr>
            </w:pPr>
            <w:r>
              <w:rPr>
                <w:rFonts w:ascii="仿宋_GB2312" w:hAnsi="仿宋_GB2312" w:eastAsia="仿宋_GB2312" w:cs="仿宋_GB2312"/>
                <w:sz w:val="21"/>
                <w:szCs w:val="21"/>
              </w:rPr>
              <w:t xml:space="preserve">8.1  </w:t>
            </w:r>
            <w:r>
              <w:rPr>
                <w:rFonts w:hint="eastAsia" w:ascii="仿宋_GB2312" w:hAnsi="仿宋_GB2312" w:eastAsia="仿宋_GB2312" w:cs="仿宋_GB2312"/>
                <w:sz w:val="21"/>
                <w:szCs w:val="21"/>
              </w:rPr>
              <w:t>监测过程质控</w:t>
            </w:r>
          </w:p>
        </w:tc>
        <w:tc>
          <w:tcPr>
            <w:tcW w:w="5773" w:type="dxa"/>
            <w:vAlign w:val="center"/>
          </w:tcPr>
          <w:p w14:paraId="4A9D2260">
            <w:pPr>
              <w:widowControl/>
              <w:numPr>
                <w:ilvl w:val="255"/>
                <w:numId w:val="0"/>
              </w:numPr>
              <w:snapToGrid w:val="0"/>
              <w:spacing w:line="360" w:lineRule="auto"/>
              <w:rPr>
                <w:rFonts w:ascii="仿宋_GB2312" w:hAnsi="仿宋_GB2312" w:eastAsia="仿宋_GB2312" w:cs="仿宋_GB2312"/>
                <w:color w:val="000000"/>
                <w:sz w:val="21"/>
                <w:szCs w:val="21"/>
              </w:rPr>
            </w:pPr>
            <w:r>
              <w:rPr>
                <w:rFonts w:hint="eastAsia" w:ascii="仿宋_GB2312" w:hAnsi="仿宋_GB2312" w:eastAsia="仿宋_GB2312" w:cs="仿宋_GB2312"/>
                <w:color w:val="000000"/>
                <w:szCs w:val="21"/>
              </w:rPr>
              <w:t>根据RB/T208进行教室环境卫生监测质控。</w:t>
            </w:r>
          </w:p>
        </w:tc>
      </w:tr>
      <w:tr w14:paraId="0A4A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749" w:type="dxa"/>
            <w:vAlign w:val="center"/>
          </w:tcPr>
          <w:p w14:paraId="7942E974">
            <w:pPr>
              <w:pStyle w:val="2"/>
              <w:numPr>
                <w:ilvl w:val="0"/>
                <w:numId w:val="0"/>
              </w:numPr>
              <w:snapToGrid w:val="0"/>
              <w:spacing w:before="0" w:after="0" w:line="360"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10  传染病及感染防控要求</w:t>
            </w:r>
          </w:p>
          <w:p w14:paraId="12BB5D13">
            <w:pPr>
              <w:widowControl/>
              <w:numPr>
                <w:ilvl w:val="255"/>
                <w:numId w:val="0"/>
              </w:numPr>
              <w:snapToGrid w:val="0"/>
              <w:spacing w:line="360" w:lineRule="auto"/>
              <w:jc w:val="left"/>
              <w:rPr>
                <w:rFonts w:ascii="仿宋_GB2312" w:hAnsi="仿宋_GB2312" w:eastAsia="仿宋_GB2312" w:cs="仿宋_GB2312"/>
                <w:color w:val="000000"/>
                <w:sz w:val="21"/>
                <w:szCs w:val="21"/>
              </w:rPr>
            </w:pPr>
          </w:p>
        </w:tc>
        <w:tc>
          <w:tcPr>
            <w:tcW w:w="5773" w:type="dxa"/>
            <w:vAlign w:val="center"/>
          </w:tcPr>
          <w:p w14:paraId="46715AAC">
            <w:pPr>
              <w:widowControl/>
              <w:numPr>
                <w:ilvl w:val="255"/>
                <w:numId w:val="0"/>
              </w:numPr>
              <w:snapToGrid w:val="0"/>
              <w:spacing w:line="360" w:lineRule="auto"/>
              <w:rPr>
                <w:rFonts w:ascii="仿宋_GB2312" w:hAnsi="仿宋_GB2312" w:eastAsia="仿宋_GB2312" w:cs="仿宋_GB2312"/>
                <w:color w:val="000000"/>
                <w:sz w:val="21"/>
                <w:szCs w:val="21"/>
              </w:rPr>
            </w:pPr>
            <w:r>
              <w:rPr>
                <w:rFonts w:hint="eastAsia" w:ascii="仿宋_GB2312" w:hAnsi="仿宋_GB2312" w:eastAsia="仿宋_GB2312" w:cs="仿宋_GB2312"/>
                <w:color w:val="000000"/>
                <w:szCs w:val="21"/>
              </w:rPr>
              <w:t>常见病监测场所按照WS/T367进行消毒处理，参考</w:t>
            </w:r>
            <w:r>
              <w:rPr>
                <w:rFonts w:ascii="仿宋_GB2312" w:hAnsi="仿宋_GB2312" w:eastAsia="仿宋_GB2312" w:cs="仿宋_GB2312"/>
                <w:color w:val="000000"/>
                <w:szCs w:val="21"/>
              </w:rPr>
              <w:t>GB15982</w:t>
            </w:r>
            <w:r>
              <w:rPr>
                <w:rFonts w:hint="eastAsia" w:ascii="仿宋_GB2312" w:hAnsi="仿宋_GB2312" w:eastAsia="仿宋_GB2312" w:cs="仿宋_GB2312"/>
                <w:color w:val="000000"/>
                <w:szCs w:val="21"/>
              </w:rPr>
              <w:t>消毒卫生标准和</w:t>
            </w:r>
            <w:r>
              <w:rPr>
                <w:rFonts w:ascii="仿宋_GB2312" w:hAnsi="仿宋_GB2312" w:eastAsia="仿宋_GB2312" w:cs="仿宋_GB2312"/>
                <w:color w:val="000000"/>
                <w:szCs w:val="21"/>
              </w:rPr>
              <w:t>GB15982</w:t>
            </w:r>
            <w:r>
              <w:rPr>
                <w:rFonts w:hint="eastAsia" w:ascii="仿宋_GB2312" w:hAnsi="仿宋_GB2312" w:eastAsia="仿宋_GB2312" w:cs="仿宋_GB2312"/>
                <w:color w:val="000000"/>
                <w:szCs w:val="21"/>
              </w:rPr>
              <w:t>监测器具的消毒标准。</w:t>
            </w:r>
          </w:p>
        </w:tc>
      </w:tr>
    </w:tbl>
    <w:p w14:paraId="1AEFF0C6">
      <w:pPr>
        <w:pStyle w:val="2"/>
        <w:numPr>
          <w:ilvl w:val="255"/>
          <w:numId w:val="0"/>
        </w:numPr>
        <w:spacing w:before="0" w:line="360" w:lineRule="auto"/>
        <w:ind w:firstLine="640" w:firstLineChars="200"/>
        <w:rPr>
          <w:rFonts w:hint="eastAsia" w:eastAsia="黑体" w:cs="黑体"/>
          <w:color w:val="000000"/>
          <w:sz w:val="32"/>
          <w:szCs w:val="22"/>
        </w:rPr>
      </w:pPr>
      <w:r>
        <w:rPr>
          <w:rFonts w:hint="eastAsia" w:eastAsia="黑体" w:cs="黑体"/>
          <w:color w:val="000000"/>
          <w:szCs w:val="22"/>
        </w:rPr>
        <w:t>五、征求意见和分歧处理情况，应说明未采纳意见依据以及同意见提出人的沟通反馈情况</w:t>
      </w:r>
    </w:p>
    <w:p w14:paraId="523725E7">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w:t>
      </w:r>
      <w:r>
        <w:rPr>
          <w:rFonts w:hint="eastAsia" w:ascii="仿宋_GB2312" w:hAnsi="仿宋_GB2312" w:eastAsia="仿宋_GB2312" w:cs="仿宋_GB2312"/>
          <w:sz w:val="32"/>
          <w:szCs w:val="32"/>
        </w:rPr>
        <w:t>。</w:t>
      </w:r>
    </w:p>
    <w:p w14:paraId="3042F93C">
      <w:pPr>
        <w:pStyle w:val="2"/>
        <w:numPr>
          <w:ilvl w:val="255"/>
          <w:numId w:val="0"/>
        </w:numPr>
        <w:spacing w:before="0" w:line="360" w:lineRule="auto"/>
        <w:ind w:firstLine="640" w:firstLineChars="200"/>
        <w:rPr>
          <w:rFonts w:hint="eastAsia" w:eastAsia="黑体" w:cs="黑体"/>
          <w:color w:val="000000"/>
          <w:sz w:val="32"/>
          <w:szCs w:val="22"/>
        </w:rPr>
      </w:pPr>
      <w:r>
        <w:rPr>
          <w:rFonts w:hint="eastAsia" w:cs="黑体"/>
        </w:rPr>
        <w:t>六、</w:t>
      </w:r>
      <w:r>
        <w:rPr>
          <w:rFonts w:hint="eastAsia" w:eastAsia="黑体" w:cs="黑体"/>
          <w:color w:val="000000"/>
          <w:szCs w:val="22"/>
        </w:rPr>
        <w:t>推动标准实施的措施建议</w:t>
      </w:r>
    </w:p>
    <w:p w14:paraId="14B001B5">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一是配套制定标准的解读和实施细则文件，增强标准可操作性；</w:t>
      </w:r>
    </w:p>
    <w:p w14:paraId="1CDA07AC">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二是标准起草小组在全省卫生健康会议和学校卫生工作会议上做好标准宣贯和培训工作，使全省中小学生健康监测技术机构掌握标准的各项技术要求，使标准的应用落到实处，不断提高健康监测的工作质量；</w:t>
      </w:r>
    </w:p>
    <w:p w14:paraId="77EA1800">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三是在部分区开展试点示范工作，对本标准执行情况进行跟踪评价，及时发现标准执行中的问题，不断修改完善，提高标准的科学性、合理性、协调性和可操作性。</w:t>
      </w:r>
    </w:p>
    <w:p w14:paraId="3603A5F1">
      <w:pPr>
        <w:pStyle w:val="2"/>
        <w:numPr>
          <w:ilvl w:val="255"/>
          <w:numId w:val="0"/>
        </w:numPr>
        <w:spacing w:before="0" w:line="360" w:lineRule="auto"/>
        <w:ind w:firstLine="640" w:firstLineChars="200"/>
        <w:rPr>
          <w:rFonts w:hint="eastAsia" w:eastAsia="黑体" w:cs="黑体"/>
          <w:color w:val="000000"/>
          <w:sz w:val="32"/>
          <w:szCs w:val="22"/>
        </w:rPr>
      </w:pPr>
      <w:r>
        <w:rPr>
          <w:rFonts w:hint="eastAsia" w:cs="黑体"/>
        </w:rPr>
        <w:t>七、</w:t>
      </w:r>
      <w:r>
        <w:rPr>
          <w:rFonts w:hint="eastAsia" w:eastAsia="黑体" w:cs="黑体"/>
          <w:color w:val="000000"/>
          <w:szCs w:val="22"/>
        </w:rPr>
        <w:t>拟作为强制性地方标准的须写明明确的法律法规依据</w:t>
      </w:r>
    </w:p>
    <w:p w14:paraId="675B21A1">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本标准为推荐性地方标准。</w:t>
      </w:r>
    </w:p>
    <w:p w14:paraId="13A6535D">
      <w:pPr>
        <w:pStyle w:val="2"/>
        <w:numPr>
          <w:ilvl w:val="255"/>
          <w:numId w:val="0"/>
        </w:numPr>
        <w:spacing w:before="0" w:line="360" w:lineRule="auto"/>
        <w:ind w:firstLine="640" w:firstLineChars="200"/>
        <w:rPr>
          <w:rFonts w:hint="eastAsia" w:eastAsia="黑体" w:cs="黑体"/>
          <w:color w:val="000000"/>
          <w:sz w:val="32"/>
          <w:szCs w:val="22"/>
        </w:rPr>
      </w:pPr>
      <w:r>
        <w:rPr>
          <w:rFonts w:hint="eastAsia" w:cs="黑体"/>
        </w:rPr>
        <w:t>八、</w:t>
      </w:r>
      <w:r>
        <w:rPr>
          <w:rFonts w:hint="eastAsia" w:eastAsia="黑体" w:cs="黑体"/>
          <w:color w:val="000000"/>
          <w:szCs w:val="22"/>
        </w:rPr>
        <w:t>其他应说明的事项</w:t>
      </w:r>
    </w:p>
    <w:p w14:paraId="51624737">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若有新颁布的国家或地方《中小学生健康监测技术规范》按照相应的标准执行，不再执行本标准。</w:t>
      </w:r>
    </w:p>
    <w:p w14:paraId="09F78035">
      <w:pPr>
        <w:spacing w:line="360" w:lineRule="auto"/>
        <w:ind w:firstLine="640" w:firstLineChars="200"/>
        <w:rPr>
          <w:rFonts w:hint="eastAsia" w:ascii="仿宋_GB2312" w:hAnsi="仿宋_GB2312" w:eastAsia="仿宋_GB2312" w:cs="仿宋_GB2312"/>
          <w:sz w:val="32"/>
          <w:szCs w:val="32"/>
        </w:rPr>
      </w:pPr>
    </w:p>
    <w:p w14:paraId="5E4165E0">
      <w:pPr>
        <w:spacing w:line="360" w:lineRule="auto"/>
        <w:ind w:firstLine="640" w:firstLineChars="200"/>
        <w:rPr>
          <w:rFonts w:hint="eastAsia" w:ascii="仿宋_GB2312" w:hAnsi="仿宋_GB2312" w:eastAsia="仿宋_GB2312" w:cs="仿宋_GB2312"/>
          <w:sz w:val="32"/>
          <w:szCs w:val="32"/>
        </w:rPr>
      </w:pPr>
    </w:p>
    <w:p w14:paraId="00E92717">
      <w:pPr>
        <w:spacing w:line="360" w:lineRule="auto"/>
        <w:ind w:left="641" w:firstLine="640" w:firstLineChars="200"/>
        <w:jc w:val="right"/>
        <w:rPr>
          <w:rFonts w:eastAsia="仿宋_GB2312"/>
          <w:color w:val="000000"/>
          <w:sz w:val="32"/>
        </w:rPr>
      </w:pPr>
      <w:r>
        <w:rPr>
          <w:rFonts w:eastAsia="仿宋_GB2312"/>
          <w:color w:val="000000"/>
          <w:sz w:val="32"/>
        </w:rPr>
        <w:t>标准起草小组</w:t>
      </w:r>
    </w:p>
    <w:p w14:paraId="645AE866">
      <w:pPr>
        <w:spacing w:line="360" w:lineRule="auto"/>
        <w:ind w:firstLine="640" w:firstLineChars="200"/>
        <w:jc w:val="right"/>
        <w:rPr>
          <w:rFonts w:ascii="仿宋_GB2312" w:hAnsi="仿宋_GB2312" w:eastAsia="仿宋_GB2312" w:cs="仿宋_GB2312"/>
          <w:color w:val="auto"/>
          <w:sz w:val="32"/>
          <w:szCs w:val="32"/>
        </w:rPr>
      </w:pPr>
      <w:r>
        <w:rPr>
          <w:rFonts w:eastAsia="仿宋_GB2312"/>
          <w:color w:val="000000"/>
          <w:sz w:val="32"/>
        </w:rPr>
        <w:t>二〇二</w:t>
      </w:r>
      <w:r>
        <w:rPr>
          <w:rFonts w:hint="eastAsia" w:eastAsia="仿宋_GB2312"/>
          <w:color w:val="000000"/>
          <w:sz w:val="32"/>
        </w:rPr>
        <w:t>五</w:t>
      </w:r>
      <w:r>
        <w:rPr>
          <w:rFonts w:eastAsia="仿宋_GB2312"/>
          <w:color w:val="000000"/>
          <w:sz w:val="32"/>
        </w:rPr>
        <w:t>年</w:t>
      </w:r>
      <w:r>
        <w:rPr>
          <w:rFonts w:hint="eastAsia" w:eastAsia="仿宋_GB2312"/>
          <w:color w:val="000000"/>
          <w:sz w:val="32"/>
        </w:rPr>
        <w:t>九</w:t>
      </w:r>
      <w:r>
        <w:rPr>
          <w:rFonts w:eastAsia="仿宋_GB2312"/>
          <w:color w:val="000000"/>
          <w:sz w:val="32"/>
        </w:rPr>
        <w:t xml:space="preserve">月 </w:t>
      </w:r>
    </w:p>
    <w:p w14:paraId="1DC2AD39">
      <w:pPr>
        <w:widowControl/>
        <w:numPr>
          <w:ilvl w:val="255"/>
          <w:numId w:val="0"/>
        </w:numPr>
        <w:shd w:val="clear" w:color="auto" w:fill="FFFFFF"/>
        <w:snapToGrid w:val="0"/>
        <w:spacing w:line="360" w:lineRule="auto"/>
        <w:ind w:firstLine="640" w:firstLineChars="200"/>
        <w:rPr>
          <w:rFonts w:eastAsia="仿宋_GB2312"/>
          <w:color w:val="000000"/>
          <w:sz w:val="32"/>
          <w:szCs w:val="22"/>
        </w:rPr>
      </w:pPr>
    </w:p>
    <w:p w14:paraId="773665A9">
      <w:pPr>
        <w:spacing w:line="360" w:lineRule="auto"/>
        <w:ind w:firstLine="0" w:firstLineChars="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ED2F45-F06A-4431-AEF7-0BA1725C07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24B8CFB0-AC73-4E6E-BFE3-45B4ED42B4CC}"/>
  </w:font>
  <w:font w:name="楷体_GB2312">
    <w:panose1 w:val="02010609030101010101"/>
    <w:charset w:val="86"/>
    <w:family w:val="modern"/>
    <w:pitch w:val="default"/>
    <w:sig w:usb0="00000001" w:usb1="080E0000" w:usb2="00000000" w:usb3="00000000" w:csb0="00040000" w:csb1="00000000"/>
    <w:embedRegular r:id="rId3" w:fontKey="{D951102A-EFC1-4F7B-8AB3-F091AFDA87DC}"/>
  </w:font>
  <w:font w:name="仿宋_GB2312">
    <w:panose1 w:val="02010609030101010101"/>
    <w:charset w:val="86"/>
    <w:family w:val="modern"/>
    <w:pitch w:val="default"/>
    <w:sig w:usb0="00000001" w:usb1="080E0000" w:usb2="00000000" w:usb3="00000000" w:csb0="00040000" w:csb1="00000000"/>
    <w:embedRegular r:id="rId4" w:fontKey="{2971143F-9F04-45DF-95CA-19915BCAEEF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EE084C"/>
    <w:multiLevelType w:val="multilevel"/>
    <w:tmpl w:val="68EE084C"/>
    <w:lvl w:ilvl="0" w:tentative="0">
      <w:start w:val="1"/>
      <w:numFmt w:val="decimal"/>
      <w:pStyle w:val="2"/>
      <w:suff w:val="space"/>
      <w:lvlText w:val="%1"/>
      <w:lvlJc w:val="left"/>
      <w:pPr>
        <w:ind w:left="0" w:firstLine="0"/>
      </w:pPr>
      <w:rPr>
        <w:rFonts w:hint="default" w:ascii="黑体" w:hAnsi="黑体" w:eastAsia="黑体" w:cs="黑体"/>
      </w:rPr>
    </w:lvl>
    <w:lvl w:ilvl="1" w:tentative="0">
      <w:start w:val="1"/>
      <w:numFmt w:val="decimal"/>
      <w:suff w:val="nothing"/>
      <w:lvlText w:val="%2.1"/>
      <w:lvlJc w:val="left"/>
      <w:pPr>
        <w:ind w:left="0" w:firstLine="0"/>
      </w:pPr>
      <w:rPr>
        <w:rFonts w:hint="default"/>
      </w:rPr>
    </w:lvl>
    <w:lvl w:ilvl="2" w:tentative="0">
      <w:start w:val="1"/>
      <w:numFmt w:val="decimal"/>
      <w:suff w:val="nothing"/>
      <w:lvlText w:val="%3.1.1"/>
      <w:lvlJc w:val="left"/>
      <w:pPr>
        <w:ind w:left="0" w:firstLine="400"/>
      </w:pPr>
      <w:rPr>
        <w:rFonts w:hint="default"/>
      </w:rPr>
    </w:lvl>
    <w:lvl w:ilvl="3" w:tentative="0">
      <w:start w:val="1"/>
      <w:numFmt w:val="decimal"/>
      <w:suff w:val="nothing"/>
      <w:lvlText w:val="%4.1.1.1"/>
      <w:lvlJc w:val="left"/>
      <w:pPr>
        <w:ind w:left="0" w:firstLine="402"/>
      </w:pPr>
      <w:rPr>
        <w:rFonts w:hint="default"/>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3"/>
      <w:suff w:val="nothing"/>
      <w:lvlText w:val="%1%2.%3.%4　"/>
      <w:lvlJc w:val="left"/>
      <w:pPr>
        <w:ind w:left="0" w:firstLine="0"/>
      </w:pPr>
      <w:rPr>
        <w:rFonts w:hint="eastAsia" w:ascii="黑体" w:eastAsia="黑体"/>
        <w:b w:val="0"/>
        <w:i w:val="0"/>
        <w:sz w:val="21"/>
      </w:rPr>
    </w:lvl>
    <w:lvl w:ilvl="4" w:tentative="0">
      <w:start w:val="1"/>
      <w:numFmt w:val="decimal"/>
      <w:pStyle w:val="12"/>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533768"/>
    <w:rsid w:val="0022346A"/>
    <w:rsid w:val="007429BF"/>
    <w:rsid w:val="00E10F8D"/>
    <w:rsid w:val="00EA1207"/>
    <w:rsid w:val="0A9133AF"/>
    <w:rsid w:val="0D9400B3"/>
    <w:rsid w:val="16135A37"/>
    <w:rsid w:val="1AA03612"/>
    <w:rsid w:val="1CFF0AC4"/>
    <w:rsid w:val="22D43934"/>
    <w:rsid w:val="22DA1DB7"/>
    <w:rsid w:val="246C3B0C"/>
    <w:rsid w:val="25AE3087"/>
    <w:rsid w:val="26B67E1A"/>
    <w:rsid w:val="29424212"/>
    <w:rsid w:val="2BFF7F10"/>
    <w:rsid w:val="2EE66F58"/>
    <w:rsid w:val="356607FA"/>
    <w:rsid w:val="38657F1D"/>
    <w:rsid w:val="3DE521D7"/>
    <w:rsid w:val="3ECA6C79"/>
    <w:rsid w:val="456A4DC4"/>
    <w:rsid w:val="48741AB6"/>
    <w:rsid w:val="4E65437B"/>
    <w:rsid w:val="5153495F"/>
    <w:rsid w:val="53DA4C2C"/>
    <w:rsid w:val="551B7B32"/>
    <w:rsid w:val="57753F0A"/>
    <w:rsid w:val="57F64296"/>
    <w:rsid w:val="58515970"/>
    <w:rsid w:val="58AC2BA6"/>
    <w:rsid w:val="598D0C2A"/>
    <w:rsid w:val="5CC31B3E"/>
    <w:rsid w:val="68AE04E1"/>
    <w:rsid w:val="6AB12ADA"/>
    <w:rsid w:val="6B855C05"/>
    <w:rsid w:val="6BCD2853"/>
    <w:rsid w:val="6E761835"/>
    <w:rsid w:val="6EF410D7"/>
    <w:rsid w:val="78533768"/>
    <w:rsid w:val="790E5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unhideWhenUsed/>
    <w:qFormat/>
    <w:uiPriority w:val="1"/>
    <w:pPr>
      <w:numPr>
        <w:ilvl w:val="0"/>
        <w:numId w:val="1"/>
      </w:numPr>
      <w:spacing w:before="54"/>
      <w:outlineLvl w:val="0"/>
    </w:pPr>
    <w:rPr>
      <w:rFonts w:ascii="黑体" w:hAnsi="黑体" w:eastAsia="黑体"/>
      <w:sz w:val="32"/>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7"/>
    <w:qFormat/>
    <w:uiPriority w:val="0"/>
    <w:pPr>
      <w:tabs>
        <w:tab w:val="center" w:pos="4153"/>
        <w:tab w:val="right" w:pos="8306"/>
      </w:tabs>
      <w:snapToGrid w:val="0"/>
      <w:jc w:val="left"/>
    </w:pPr>
    <w:rPr>
      <w:sz w:val="18"/>
      <w:szCs w:val="18"/>
    </w:rPr>
  </w:style>
  <w:style w:type="paragraph" w:styleId="6">
    <w:name w:val="header"/>
    <w:basedOn w:val="1"/>
    <w:link w:val="16"/>
    <w:qFormat/>
    <w:uiPriority w:val="0"/>
    <w:pP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标准文件_三级无标题"/>
    <w:basedOn w:val="12"/>
    <w:qFormat/>
    <w:uiPriority w:val="0"/>
    <w:pPr>
      <w:spacing w:before="0" w:beforeLines="0" w:after="0" w:afterLines="0"/>
      <w:outlineLvl w:val="9"/>
    </w:pPr>
    <w:rPr>
      <w:rFonts w:ascii="宋体" w:eastAsia="宋体"/>
    </w:rPr>
  </w:style>
  <w:style w:type="paragraph" w:customStyle="1" w:styleId="12">
    <w:name w:val="标准文件_三级条标题"/>
    <w:basedOn w:val="13"/>
    <w:next w:val="14"/>
    <w:qFormat/>
    <w:uiPriority w:val="0"/>
    <w:pPr>
      <w:widowControl/>
      <w:numPr>
        <w:ilvl w:val="4"/>
      </w:numPr>
      <w:outlineLvl w:val="3"/>
    </w:pPr>
  </w:style>
  <w:style w:type="paragraph" w:customStyle="1" w:styleId="13">
    <w:name w:val="标准文件_二级条标题"/>
    <w:next w:val="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6">
    <w:name w:val="页眉 字符"/>
    <w:basedOn w:val="9"/>
    <w:link w:val="6"/>
    <w:qFormat/>
    <w:uiPriority w:val="0"/>
    <w:rPr>
      <w:rFonts w:asciiTheme="minorHAnsi" w:hAnsiTheme="minorHAnsi" w:eastAsiaTheme="minorEastAsia" w:cstheme="minorBidi"/>
      <w:kern w:val="2"/>
      <w:sz w:val="18"/>
      <w:szCs w:val="18"/>
    </w:rPr>
  </w:style>
  <w:style w:type="character" w:customStyle="1" w:styleId="17">
    <w:name w:val="页脚 字符"/>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4691</Words>
  <Characters>5235</Characters>
  <Lines>242</Lines>
  <Paragraphs>200</Paragraphs>
  <TotalTime>274</TotalTime>
  <ScaleCrop>false</ScaleCrop>
  <LinksUpToDate>false</LinksUpToDate>
  <CharactersWithSpaces>5315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2025-03-18T12:02:00Z</dcterms:created>
  <dc:creator>丛龙娟</dc:creator>
  <cp:lastModifiedBy>孙宇欣</cp:lastModifiedBy>
  <dcterms:modified xsi:type="dcterms:W3CDTF">2026-04-27T03:37:02Z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B306EF99E61848DDB84F52A360430D93_13</vt:lpwstr>
  </property>
  <property fmtid="{D5CDD505-2E9C-101B-9397-08002B2CF9AE}" pid="4" name="KSOTemplateDocerSaveRecord">
    <vt:lpwstr>eyJoZGlkIjoiMzEwNTM5NzYwMDRjMzkwZTVkZjY2ODkwMGIxNGU0OTUiLCJ1c2VySWQiOiIxNjU3NzE4MjUwIn0=</vt:lpwstr>
  </property>
</Properties>
</file>