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56D5E">
      <w:pPr>
        <w:rPr>
          <w:rFonts w:eastAsia="黑体" w:cs="黑体"/>
          <w:highlight w:val="none"/>
        </w:rPr>
      </w:pPr>
      <w:r>
        <w:rPr>
          <w:rFonts w:hint="eastAsia" w:eastAsia="黑体" w:cs="黑体"/>
          <w:highlight w:val="none"/>
        </w:rPr>
        <w:t>附件3</w:t>
      </w:r>
    </w:p>
    <w:p w14:paraId="6B4A3681">
      <w:pPr>
        <w:jc w:val="center"/>
        <w:rPr>
          <w:rFonts w:hint="eastAsia" w:eastAsia="方正小标宋简体" w:cs="方正小标宋简体"/>
          <w:sz w:val="32"/>
          <w:szCs w:val="32"/>
          <w:highlight w:val="none"/>
        </w:rPr>
      </w:pPr>
      <w:r>
        <w:rPr>
          <w:rFonts w:hint="eastAsia" w:eastAsia="方正小标宋简体" w:cs="方正小标宋简体"/>
          <w:sz w:val="32"/>
          <w:szCs w:val="32"/>
          <w:highlight w:val="none"/>
        </w:rPr>
        <w:t>辽宁省地方标准《重点场所消毒卫生规范—托幼机构》</w:t>
      </w:r>
    </w:p>
    <w:p w14:paraId="473474A6">
      <w:pPr>
        <w:jc w:val="center"/>
        <w:rPr>
          <w:rFonts w:eastAsia="方正小标宋简体"/>
          <w:highlight w:val="none"/>
        </w:rPr>
      </w:pPr>
      <w:r>
        <w:rPr>
          <w:rFonts w:hint="eastAsia" w:eastAsia="方正小标宋简体" w:cs="方正小标宋简体"/>
          <w:sz w:val="32"/>
          <w:szCs w:val="32"/>
          <w:highlight w:val="none"/>
        </w:rPr>
        <w:t>编制说明</w:t>
      </w:r>
    </w:p>
    <w:p w14:paraId="3EF40148">
      <w:pPr>
        <w:spacing w:line="560" w:lineRule="exact"/>
        <w:ind w:firstLine="640" w:firstLineChars="200"/>
        <w:rPr>
          <w:rFonts w:hint="eastAsia" w:cs="仿宋_GB2312"/>
          <w:highlight w:val="none"/>
        </w:rPr>
      </w:pPr>
      <w:r>
        <w:rPr>
          <w:rFonts w:hint="eastAsia" w:ascii="黑体" w:hAnsi="黑体" w:eastAsia="黑体" w:cs="黑体"/>
          <w:highlight w:val="none"/>
        </w:rPr>
        <w:t>一、工作简介</w:t>
      </w:r>
    </w:p>
    <w:p w14:paraId="467357D3">
      <w:pPr>
        <w:spacing w:line="560" w:lineRule="exact"/>
        <w:ind w:firstLine="640" w:firstLineChars="200"/>
        <w:rPr>
          <w:rFonts w:hint="eastAsia" w:cs="仿宋_GB2312"/>
          <w:highlight w:val="none"/>
        </w:rPr>
      </w:pPr>
      <w:r>
        <w:rPr>
          <w:rFonts w:hint="eastAsia" w:cs="仿宋_GB2312"/>
          <w:highlight w:val="none"/>
          <w:lang w:val="en-US" w:eastAsia="zh-CN"/>
        </w:rPr>
        <w:t>（一）</w:t>
      </w:r>
      <w:r>
        <w:rPr>
          <w:rFonts w:hint="eastAsia" w:cs="仿宋_GB2312"/>
          <w:highlight w:val="none"/>
        </w:rPr>
        <w:t>任务来源</w:t>
      </w:r>
    </w:p>
    <w:p w14:paraId="53B1A798">
      <w:pPr>
        <w:spacing w:line="560" w:lineRule="exact"/>
        <w:ind w:firstLine="640" w:firstLineChars="200"/>
        <w:rPr>
          <w:rFonts w:hint="eastAsia" w:cs="仿宋_GB2312"/>
          <w:highlight w:val="none"/>
        </w:rPr>
      </w:pPr>
      <w:r>
        <w:rPr>
          <w:rFonts w:hint="eastAsia" w:cs="仿宋_GB2312"/>
          <w:highlight w:val="none"/>
        </w:rPr>
        <w:t>本标准以习近平新时代中国特色社会主义思想为指导，全面贯彻落实党的二十大精神，深入践行《“健康中国2030”规划纲要》和《健康中国行动（2019-2030年）》的总体要求，牢固树立新发展理念，持续推进健康辽宁建设。本标准聚焦幼儿生命健康，以“科学、精准、安全”为托幼机构消毒工作的核心准则，致力于推动辽宁省托幼机构消毒工作高质量发展。</w:t>
      </w:r>
    </w:p>
    <w:p w14:paraId="2AA21F48">
      <w:pPr>
        <w:spacing w:line="560" w:lineRule="exact"/>
        <w:ind w:firstLine="640" w:firstLineChars="200"/>
        <w:rPr>
          <w:rFonts w:hint="eastAsia" w:cs="仿宋_GB2312"/>
          <w:highlight w:val="none"/>
        </w:rPr>
      </w:pPr>
      <w:r>
        <w:rPr>
          <w:rFonts w:hint="eastAsia" w:cs="仿宋_GB2312"/>
          <w:highlight w:val="none"/>
        </w:rPr>
        <w:t>近年来，随着辽宁省疾控系统消毒监测与评价项目的持续推进，调查发现我省托幼机构的消毒工作存在诸多亟待解决的问题。一是消毒执行缺乏标准依据，消毒剂的正确使用和消毒方法的选择缺乏明确指导；二是疾控、监督等机构在对托幼机构消毒质量进行监测与评价时，缺乏统一、明确的判定依据；三是部分托幼机构未对消毒员进行岗前培训，个人防护用品和消毒产品的配备不全</w:t>
      </w:r>
      <w:r>
        <w:rPr>
          <w:rFonts w:hint="eastAsia" w:cs="仿宋_GB2312"/>
          <w:highlight w:val="none"/>
          <w:lang w:eastAsia="zh-CN"/>
        </w:rPr>
        <w:t>，</w:t>
      </w:r>
      <w:r>
        <w:rPr>
          <w:rFonts w:hint="eastAsia" w:cs="仿宋_GB2312"/>
          <w:highlight w:val="none"/>
          <w:lang w:val="en-US" w:eastAsia="zh-CN"/>
        </w:rPr>
        <w:t>工作人员手卫生、餐饮具卫生状况突出</w:t>
      </w:r>
      <w:r>
        <w:rPr>
          <w:rFonts w:hint="eastAsia" w:cs="仿宋_GB2312"/>
          <w:highlight w:val="none"/>
        </w:rPr>
        <w:t>等现象较为普遍。</w:t>
      </w:r>
    </w:p>
    <w:p w14:paraId="131DF78C">
      <w:pPr>
        <w:spacing w:line="560" w:lineRule="exact"/>
        <w:ind w:firstLine="640" w:firstLineChars="200"/>
        <w:rPr>
          <w:rFonts w:hint="default" w:cs="仿宋_GB2312"/>
          <w:highlight w:val="none"/>
          <w:lang w:val="en-US" w:eastAsia="zh-CN"/>
        </w:rPr>
      </w:pPr>
      <w:r>
        <w:rPr>
          <w:rFonts w:hint="eastAsia" w:cs="仿宋_GB2312"/>
          <w:highlight w:val="none"/>
        </w:rPr>
        <w:t>鉴于辽宁省目前尚未出台托幼机构消毒卫生的相关标准，且国内尚无托幼机构消毒卫生的国家标准，仅有江苏、浙江等少数省市制定了地方标准。为解决上述问题，填补标准空白，促进我省托幼机构消毒工作科学、规范开展，辽宁省疾病预防控制中心联合沈阳、大连等6市疾病预防控制中心，共同起草了“重点场所消毒卫生规范—托幼机构”标准草案。</w:t>
      </w:r>
    </w:p>
    <w:p w14:paraId="6C522E54">
      <w:pPr>
        <w:numPr>
          <w:ilvl w:val="0"/>
          <w:numId w:val="1"/>
        </w:numPr>
        <w:spacing w:line="560" w:lineRule="exact"/>
        <w:ind w:firstLine="640" w:firstLineChars="200"/>
        <w:rPr>
          <w:rFonts w:hint="eastAsia" w:cs="仿宋_GB2312"/>
          <w:highlight w:val="none"/>
        </w:rPr>
      </w:pPr>
      <w:r>
        <w:rPr>
          <w:rFonts w:hint="eastAsia" w:cs="仿宋_GB2312"/>
          <w:highlight w:val="none"/>
        </w:rPr>
        <w:t>制定标准的必要性和意义</w:t>
      </w:r>
    </w:p>
    <w:p w14:paraId="6D96297F">
      <w:pPr>
        <w:numPr>
          <w:ilvl w:val="0"/>
          <w:numId w:val="0"/>
        </w:numPr>
        <w:spacing w:line="560" w:lineRule="exact"/>
        <w:ind w:firstLine="640" w:firstLineChars="200"/>
        <w:rPr>
          <w:rFonts w:hint="eastAsia" w:cs="仿宋_GB2312"/>
          <w:highlight w:val="none"/>
        </w:rPr>
      </w:pPr>
      <w:r>
        <w:rPr>
          <w:rFonts w:hint="eastAsia" w:cs="仿宋_GB2312"/>
          <w:highlight w:val="none"/>
          <w:lang w:val="en-US" w:eastAsia="zh-CN"/>
        </w:rPr>
        <w:t>1.</w:t>
      </w:r>
      <w:r>
        <w:rPr>
          <w:rFonts w:hint="eastAsia" w:cs="仿宋_GB2312"/>
          <w:highlight w:val="none"/>
        </w:rPr>
        <w:t>制定标准的必要性</w:t>
      </w:r>
      <w:r>
        <w:rPr>
          <w:rFonts w:hint="eastAsia" w:cs="仿宋_GB2312"/>
          <w:highlight w:val="none"/>
          <w:lang w:eastAsia="zh-CN"/>
        </w:rPr>
        <w:t>：</w:t>
      </w:r>
      <w:r>
        <w:rPr>
          <w:rFonts w:hint="eastAsia" w:cs="仿宋_GB2312"/>
          <w:highlight w:val="none"/>
          <w:lang w:val="en-US" w:eastAsia="zh-CN"/>
        </w:rPr>
        <w:t>一是</w:t>
      </w:r>
      <w:r>
        <w:rPr>
          <w:rFonts w:hint="eastAsia" w:cs="仿宋_GB2312"/>
          <w:highlight w:val="none"/>
        </w:rPr>
        <w:t>填补标准空白</w:t>
      </w:r>
      <w:r>
        <w:rPr>
          <w:rFonts w:hint="eastAsia" w:cs="仿宋_GB2312"/>
          <w:highlight w:val="none"/>
          <w:lang w:eastAsia="zh-CN"/>
        </w:rPr>
        <w:t>，</w:t>
      </w:r>
      <w:r>
        <w:rPr>
          <w:rFonts w:hint="eastAsia" w:cs="仿宋_GB2312"/>
          <w:highlight w:val="none"/>
        </w:rPr>
        <w:t>目前我国尚未出台托幼机构消毒卫生的国家标准，辽宁省也缺乏相关地方标准。国内仅有少数省市如江苏、浙江、上海、贵州等制定了地方标准。因此，制定该标准能够填补辽宁省在托幼机构消毒卫生领域的空白。</w:t>
      </w:r>
      <w:r>
        <w:rPr>
          <w:rFonts w:hint="eastAsia" w:cs="仿宋_GB2312"/>
          <w:highlight w:val="none"/>
          <w:lang w:val="en-US" w:eastAsia="zh-CN"/>
        </w:rPr>
        <w:t>二是</w:t>
      </w:r>
      <w:r>
        <w:rPr>
          <w:rFonts w:hint="eastAsia" w:cs="仿宋_GB2312"/>
          <w:highlight w:val="none"/>
        </w:rPr>
        <w:t>解决实际问题</w:t>
      </w:r>
      <w:r>
        <w:rPr>
          <w:rFonts w:hint="eastAsia" w:cs="仿宋_GB2312"/>
          <w:highlight w:val="none"/>
          <w:lang w:eastAsia="zh-CN"/>
        </w:rPr>
        <w:t>，</w:t>
      </w:r>
      <w:r>
        <w:rPr>
          <w:rFonts w:hint="eastAsia" w:cs="仿宋_GB2312"/>
          <w:highlight w:val="none"/>
        </w:rPr>
        <w:t>调查发现，辽宁省托幼机构消毒工作存在诸多问题，如消毒执行缺乏标准依据、消毒剂使用不当、消毒方法选择不合理。此外，疾控和监督机构在监测与评价托幼机构消毒质量时，缺乏统一的判定依据。制定标准能够为这些问题提供明确的解决方案。</w:t>
      </w:r>
      <w:r>
        <w:rPr>
          <w:rFonts w:hint="eastAsia" w:cs="仿宋_GB2312"/>
          <w:highlight w:val="none"/>
          <w:lang w:val="en-US" w:eastAsia="zh-CN"/>
        </w:rPr>
        <w:t>三是</w:t>
      </w:r>
      <w:r>
        <w:rPr>
          <w:rFonts w:hint="eastAsia" w:cs="仿宋_GB2312"/>
          <w:highlight w:val="none"/>
        </w:rPr>
        <w:t>规范消毒工作</w:t>
      </w:r>
      <w:r>
        <w:rPr>
          <w:rFonts w:hint="eastAsia" w:cs="仿宋_GB2312"/>
          <w:highlight w:val="none"/>
          <w:lang w:eastAsia="zh-CN"/>
        </w:rPr>
        <w:t>，</w:t>
      </w:r>
      <w:r>
        <w:rPr>
          <w:rFonts w:hint="eastAsia" w:cs="仿宋_GB2312"/>
          <w:highlight w:val="none"/>
        </w:rPr>
        <w:t>托幼机构是幼儿聚集的场所，卫生状况直接影响幼儿健康。当前部分托幼机构存在消毒员未接受岗前培训、个人防护用品和消毒产品配备不全等问题。标准的制定能够规范消毒工作流程，提升消毒工作的科学性和安全性。</w:t>
      </w:r>
      <w:r>
        <w:rPr>
          <w:rFonts w:hint="eastAsia" w:cs="仿宋_GB2312"/>
          <w:highlight w:val="none"/>
          <w:lang w:val="en-US" w:eastAsia="zh-CN"/>
        </w:rPr>
        <w:t>四是</w:t>
      </w:r>
      <w:r>
        <w:rPr>
          <w:rFonts w:hint="eastAsia" w:cs="仿宋_GB2312"/>
          <w:highlight w:val="none"/>
        </w:rPr>
        <w:t>预防传染病传播</w:t>
      </w:r>
      <w:r>
        <w:rPr>
          <w:rFonts w:hint="eastAsia" w:cs="仿宋_GB2312"/>
          <w:highlight w:val="none"/>
          <w:lang w:eastAsia="zh-CN"/>
        </w:rPr>
        <w:t>，</w:t>
      </w:r>
      <w:r>
        <w:rPr>
          <w:rFonts w:hint="eastAsia" w:cs="仿宋_GB2312"/>
          <w:highlight w:val="none"/>
        </w:rPr>
        <w:t>托幼机构是传染病的高发场所，如手足口病、流行性腮腺炎等，主要通过空气和接触传播。制定消毒卫生规范能够有效切断传染病传播途径，降低传染病的发生率。</w:t>
      </w:r>
    </w:p>
    <w:p w14:paraId="766552CC">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2.制定标准的意义：一是</w:t>
      </w:r>
      <w:r>
        <w:rPr>
          <w:rFonts w:hint="eastAsia" w:cs="仿宋_GB2312"/>
          <w:highlight w:val="none"/>
        </w:rPr>
        <w:t>推动健康辽宁建设</w:t>
      </w:r>
      <w:r>
        <w:rPr>
          <w:rFonts w:hint="eastAsia" w:cs="仿宋_GB2312"/>
          <w:highlight w:val="none"/>
          <w:lang w:eastAsia="zh-CN"/>
        </w:rPr>
        <w:t>，</w:t>
      </w:r>
      <w:r>
        <w:rPr>
          <w:rFonts w:hint="eastAsia" w:cs="仿宋_GB2312"/>
          <w:highlight w:val="none"/>
        </w:rPr>
        <w:t>标准的实施是落实《“健康中国2030”规划纲要》和《健康中国行动（2019-2030年）》的具体举措，有助于提升辽宁省公共卫生水平，推动健康辽宁建设。</w:t>
      </w:r>
      <w:r>
        <w:rPr>
          <w:rFonts w:hint="eastAsia" w:cs="仿宋_GB2312"/>
          <w:highlight w:val="none"/>
          <w:lang w:val="en-US" w:eastAsia="zh-CN"/>
        </w:rPr>
        <w:t>二是</w:t>
      </w:r>
      <w:r>
        <w:rPr>
          <w:rFonts w:hint="eastAsia" w:cs="仿宋_GB2312"/>
          <w:highlight w:val="none"/>
        </w:rPr>
        <w:t>保障幼儿健康</w:t>
      </w:r>
      <w:r>
        <w:rPr>
          <w:rFonts w:hint="eastAsia" w:cs="仿宋_GB2312"/>
          <w:highlight w:val="none"/>
          <w:lang w:eastAsia="zh-CN"/>
        </w:rPr>
        <w:t>，</w:t>
      </w:r>
      <w:r>
        <w:rPr>
          <w:rFonts w:hint="eastAsia" w:cs="仿宋_GB2312"/>
          <w:highlight w:val="none"/>
        </w:rPr>
        <w:t>该标准以预防和控制传染病发生和传播为目的，通过明确消毒卫生要求和评价指标，为幼儿创造一个安全、卫生的学习和生活环境。这有助于减少幼儿因传染病导致的缺勤和就医，促进幼儿的健康成长。</w:t>
      </w:r>
      <w:r>
        <w:rPr>
          <w:rFonts w:hint="eastAsia" w:cs="仿宋_GB2312"/>
          <w:highlight w:val="none"/>
          <w:lang w:val="en-US" w:eastAsia="zh-CN"/>
        </w:rPr>
        <w:t>三是</w:t>
      </w:r>
      <w:r>
        <w:rPr>
          <w:rFonts w:hint="eastAsia" w:cs="仿宋_GB2312"/>
          <w:highlight w:val="none"/>
        </w:rPr>
        <w:t>提升管理水平</w:t>
      </w:r>
      <w:r>
        <w:rPr>
          <w:rFonts w:hint="eastAsia" w:cs="仿宋_GB2312"/>
          <w:highlight w:val="none"/>
          <w:lang w:eastAsia="zh-CN"/>
        </w:rPr>
        <w:t>，</w:t>
      </w:r>
      <w:r>
        <w:rPr>
          <w:rFonts w:hint="eastAsia" w:cs="仿宋_GB2312"/>
          <w:highlight w:val="none"/>
        </w:rPr>
        <w:t>标准的制定能够为托幼机构提供明确的消毒工作指引，帮助其建立健全卫生消毒制度，规范日常消毒操作。同时，也为疾控机构和卫生监督部门提供了技术依据，便于开展监测和监管工作。</w:t>
      </w:r>
      <w:r>
        <w:rPr>
          <w:rFonts w:hint="eastAsia" w:cs="仿宋_GB2312"/>
          <w:highlight w:val="none"/>
          <w:lang w:val="en-US" w:eastAsia="zh-CN"/>
        </w:rPr>
        <w:t>四是</w:t>
      </w:r>
      <w:r>
        <w:rPr>
          <w:rFonts w:hint="eastAsia" w:cs="仿宋_GB2312"/>
          <w:highlight w:val="none"/>
        </w:rPr>
        <w:t>促进规范化发展</w:t>
      </w:r>
      <w:r>
        <w:rPr>
          <w:rFonts w:hint="eastAsia" w:cs="仿宋_GB2312"/>
          <w:highlight w:val="none"/>
          <w:lang w:eastAsia="zh-CN"/>
        </w:rPr>
        <w:t>，</w:t>
      </w:r>
      <w:r>
        <w:rPr>
          <w:rFonts w:hint="eastAsia" w:cs="仿宋_GB2312"/>
          <w:highlight w:val="none"/>
        </w:rPr>
        <w:t>通过制定统一的标准，能够引导托幼机构科学、精准地开展消毒工作，提升整体卫生管理水平。这不仅有助于减少传染病的发生，还能为其他省市提供参考和借鉴</w:t>
      </w:r>
      <w:r>
        <w:rPr>
          <w:rFonts w:hint="eastAsia" w:cs="仿宋_GB2312"/>
          <w:highlight w:val="none"/>
          <w:lang w:eastAsia="zh-CN"/>
        </w:rPr>
        <w:t>。</w:t>
      </w:r>
      <w:r>
        <w:rPr>
          <w:rFonts w:hint="eastAsia" w:cs="仿宋_GB2312"/>
          <w:highlight w:val="none"/>
          <w:lang w:val="en-US" w:eastAsia="zh-CN"/>
        </w:rPr>
        <w:t xml:space="preserve"> </w:t>
      </w:r>
    </w:p>
    <w:p w14:paraId="354231F3">
      <w:pPr>
        <w:numPr>
          <w:ilvl w:val="0"/>
          <w:numId w:val="1"/>
        </w:numPr>
        <w:spacing w:line="560" w:lineRule="exact"/>
        <w:ind w:left="0" w:leftChars="0" w:firstLine="640" w:firstLineChars="200"/>
        <w:rPr>
          <w:rFonts w:hint="eastAsia" w:cs="仿宋_GB2312"/>
          <w:highlight w:val="none"/>
        </w:rPr>
      </w:pPr>
      <w:r>
        <w:rPr>
          <w:rFonts w:hint="eastAsia" w:cs="仿宋_GB2312"/>
          <w:highlight w:val="none"/>
        </w:rPr>
        <w:t>起草单位</w:t>
      </w:r>
    </w:p>
    <w:p w14:paraId="0CEF972C">
      <w:pPr>
        <w:numPr>
          <w:ilvl w:val="0"/>
          <w:numId w:val="0"/>
        </w:numPr>
        <w:spacing w:line="560" w:lineRule="exact"/>
        <w:ind w:left="0" w:leftChars="0" w:firstLine="640" w:firstLineChars="200"/>
        <w:rPr>
          <w:rFonts w:hint="eastAsia" w:eastAsia="仿宋_GB2312" w:cs="仿宋_GB2312"/>
          <w:highlight w:val="none"/>
          <w:lang w:val="en-US" w:eastAsia="zh-CN"/>
        </w:rPr>
      </w:pPr>
      <w:r>
        <w:rPr>
          <w:rFonts w:hint="eastAsia" w:cs="仿宋_GB2312"/>
          <w:highlight w:val="none"/>
          <w:lang w:val="en-US" w:eastAsia="zh-CN"/>
        </w:rPr>
        <w:t>辽宁省疾病预防控制中心、沈阳市疾病预防控制中心、大连市疾病预防控制中心、鞍山市疾病预防控中心、抚顺市疾病预防控制中心、锦州市疾病预防控制中心、丹东市疾病预防控制中心</w:t>
      </w:r>
    </w:p>
    <w:p w14:paraId="28DA6342">
      <w:pPr>
        <w:numPr>
          <w:ilvl w:val="0"/>
          <w:numId w:val="1"/>
        </w:numPr>
        <w:spacing w:line="560" w:lineRule="exact"/>
        <w:ind w:left="0" w:leftChars="0" w:firstLine="640" w:firstLineChars="200"/>
        <w:rPr>
          <w:rFonts w:hint="eastAsia" w:cs="仿宋_GB2312"/>
          <w:highlight w:val="none"/>
          <w:lang w:eastAsia="zh-CN"/>
        </w:rPr>
      </w:pPr>
      <w:r>
        <w:rPr>
          <w:rFonts w:hint="eastAsia" w:cs="仿宋_GB2312"/>
          <w:highlight w:val="none"/>
        </w:rPr>
        <w:t>主要起草人及其所做的工作、主要工作过程</w:t>
      </w:r>
    </w:p>
    <w:p w14:paraId="716EA9BB">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1.主要起草人：于连政、王俊龙、贾兴真、张倩、刘金忠、黄牧、曹沛沛、位晓东、赵娜、杨飞、管兆军。</w:t>
      </w:r>
    </w:p>
    <w:p w14:paraId="1E291ED7">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于连政、王俊龙主要负责整体框架及细分条款的编制；贾兴真、张倩、刘金忠主要负责细分条款编制、托幼机构消毒质量监测数据审核和分析工作；黄牧、曹沛沛、位晓东、赵娜、杨飞、管兆军主要负责组织现场问卷调查、托幼机构消毒质量采样、实验室检测工作、数据质量控制和细分条款编制等。</w:t>
      </w:r>
    </w:p>
    <w:p w14:paraId="008E6E72">
      <w:pPr>
        <w:numPr>
          <w:ilvl w:val="0"/>
          <w:numId w:val="0"/>
        </w:numPr>
        <w:spacing w:line="560" w:lineRule="exact"/>
        <w:ind w:firstLine="640" w:firstLineChars="200"/>
        <w:rPr>
          <w:rFonts w:hint="default" w:cs="仿宋_GB2312"/>
          <w:highlight w:val="none"/>
          <w:lang w:val="en-US" w:eastAsia="zh-CN"/>
        </w:rPr>
      </w:pPr>
      <w:r>
        <w:rPr>
          <w:rFonts w:hint="eastAsia" w:cs="仿宋_GB2312"/>
          <w:highlight w:val="none"/>
          <w:lang w:val="en-US" w:eastAsia="zh-CN"/>
        </w:rPr>
        <w:t>2.主要工作过程：</w:t>
      </w:r>
    </w:p>
    <w:p w14:paraId="1BF3E4D6">
      <w:pPr>
        <w:numPr>
          <w:ilvl w:val="0"/>
          <w:numId w:val="0"/>
        </w:numPr>
        <w:spacing w:line="560" w:lineRule="exact"/>
        <w:ind w:firstLine="640"/>
        <w:rPr>
          <w:rFonts w:hint="eastAsia" w:cs="仿宋_GB2312"/>
          <w:highlight w:val="none"/>
          <w:lang w:val="en-US" w:eastAsia="zh-CN"/>
        </w:rPr>
      </w:pPr>
      <w:r>
        <w:rPr>
          <w:rFonts w:hint="eastAsia" w:cs="仿宋_GB2312"/>
          <w:highlight w:val="none"/>
          <w:lang w:val="en-US" w:eastAsia="zh-CN"/>
        </w:rPr>
        <w:t>（1）项目启动与技术培训：每年5月起，省本级和各市（包括沈阳、大连、鞍山、抚顺、锦州、丹东等市疾控中心）开始启动消毒监测与评价项目工作。首先开展项目技术培训，对参与项目的工作人员进行专业培训，包括消毒监测的方法、采样技术、问卷调查技巧、实验室检测流程等内容，确保工作人员具备开展项目工作的能力和素质。</w:t>
      </w:r>
    </w:p>
    <w:p w14:paraId="5C70007A">
      <w:pPr>
        <w:numPr>
          <w:ilvl w:val="0"/>
          <w:numId w:val="0"/>
        </w:numPr>
        <w:spacing w:line="560" w:lineRule="exact"/>
        <w:ind w:firstLine="640"/>
        <w:rPr>
          <w:rFonts w:hint="eastAsia" w:cs="仿宋_GB2312"/>
          <w:highlight w:val="none"/>
          <w:lang w:val="en-US" w:eastAsia="zh-CN"/>
        </w:rPr>
      </w:pPr>
      <w:r>
        <w:rPr>
          <w:rFonts w:hint="eastAsia" w:cs="仿宋_GB2312"/>
          <w:highlight w:val="none"/>
          <w:lang w:val="en-US" w:eastAsia="zh-CN"/>
        </w:rPr>
        <w:t>（2）现场问卷调查与采样：组织人员开展现场问卷调查，深入托幼机构，通过问卷的形式收集托幼机构消毒工作相关的信息，如消毒设施设备的配备、消毒剂的使用、消毒操作流程等情况。同时，进行现场采样，按照规定的采样计划和标准，对托幼机构的环境、物品等进行采样。</w:t>
      </w:r>
    </w:p>
    <w:p w14:paraId="18ADF942">
      <w:pPr>
        <w:numPr>
          <w:ilvl w:val="0"/>
          <w:numId w:val="0"/>
        </w:numPr>
        <w:spacing w:line="560" w:lineRule="exact"/>
        <w:ind w:firstLine="640"/>
        <w:rPr>
          <w:rFonts w:hint="eastAsia" w:cs="仿宋_GB2312"/>
          <w:highlight w:val="none"/>
          <w:lang w:val="en-US" w:eastAsia="zh-CN"/>
        </w:rPr>
      </w:pPr>
      <w:r>
        <w:rPr>
          <w:rFonts w:hint="eastAsia" w:cs="仿宋_GB2312"/>
          <w:highlight w:val="none"/>
          <w:lang w:val="en-US" w:eastAsia="zh-CN"/>
        </w:rPr>
        <w:t>（3）实验室检测与数据质量控制：将采集到的样本送至实验室进行检测。在检测过程中，严格把控数据质量，确保检测结果的准确性和可靠性。</w:t>
      </w:r>
    </w:p>
    <w:p w14:paraId="0F4722F6">
      <w:pPr>
        <w:numPr>
          <w:ilvl w:val="0"/>
          <w:numId w:val="0"/>
        </w:numPr>
        <w:spacing w:line="560" w:lineRule="exact"/>
        <w:ind w:firstLine="640"/>
        <w:rPr>
          <w:rFonts w:hint="eastAsia" w:cs="仿宋_GB2312"/>
          <w:highlight w:val="none"/>
          <w:lang w:val="en-US" w:eastAsia="zh-CN"/>
        </w:rPr>
      </w:pPr>
      <w:r>
        <w:rPr>
          <w:rFonts w:hint="eastAsia" w:cs="仿宋_GB2312"/>
          <w:highlight w:val="none"/>
          <w:lang w:val="en-US" w:eastAsia="zh-CN"/>
        </w:rPr>
        <w:t>（4）数据审核与分析：收集到的数据经过初步整理后，交由贾兴真、张倩、刘金忠等人员进行审核和分析。他们对数据进行仔细审核，剔除错误或不符合要求的数据，对有效数据进行统计分析，评估托幼机构消毒质量的现状，找出存在的问题和薄弱环节，为标准的制定提供实践依据。</w:t>
      </w:r>
    </w:p>
    <w:p w14:paraId="6189B449">
      <w:pPr>
        <w:numPr>
          <w:ilvl w:val="0"/>
          <w:numId w:val="0"/>
        </w:numPr>
        <w:spacing w:line="560" w:lineRule="exact"/>
        <w:ind w:firstLine="640"/>
        <w:rPr>
          <w:rFonts w:hint="default" w:cs="仿宋_GB2312"/>
          <w:highlight w:val="none"/>
          <w:lang w:val="en-US" w:eastAsia="zh-CN"/>
        </w:rPr>
      </w:pPr>
      <w:r>
        <w:rPr>
          <w:rFonts w:hint="eastAsia" w:cs="仿宋_GB2312"/>
          <w:highlight w:val="none"/>
          <w:lang w:val="en-US" w:eastAsia="zh-CN"/>
        </w:rPr>
        <w:t>（5）数据积累与标准制定实践基础构建：自2021年起，沈阳、大连、鞍山、抚顺和锦州市疾控中心开展消毒监测与评价项目，丹东市疾控中心从2024年起加入该项目。通过多年的工作积累，省本级和各市积累了大量托幼机构消毒监测基础数据。这些数据为本标准的制定奠定了坚实的实践基础，使标准能够更好地结合实际，具有更强的针对性和可操作性。</w:t>
      </w:r>
    </w:p>
    <w:p w14:paraId="60293E30">
      <w:pPr>
        <w:numPr>
          <w:ilvl w:val="0"/>
          <w:numId w:val="0"/>
        </w:numPr>
        <w:spacing w:line="560" w:lineRule="exact"/>
        <w:ind w:firstLine="640" w:firstLineChars="200"/>
        <w:rPr>
          <w:rFonts w:hint="eastAsia" w:cs="仿宋_GB2312"/>
          <w:highlight w:val="none"/>
        </w:rPr>
      </w:pPr>
      <w:r>
        <w:rPr>
          <w:rFonts w:hint="eastAsia" w:ascii="黑体" w:hAnsi="黑体" w:eastAsia="黑体" w:cs="黑体"/>
          <w:kern w:val="2"/>
          <w:sz w:val="32"/>
          <w:szCs w:val="32"/>
          <w:highlight w:val="none"/>
          <w:lang w:val="en-US" w:eastAsia="zh-CN" w:bidi="ar-SA"/>
        </w:rPr>
        <w:t>二、</w:t>
      </w:r>
      <w:r>
        <w:rPr>
          <w:rFonts w:hint="eastAsia" w:ascii="黑体" w:hAnsi="黑体" w:eastAsia="黑体" w:cs="黑体"/>
          <w:highlight w:val="none"/>
        </w:rPr>
        <w:t>标准编制原则和确定地方标准主要内容的论据</w:t>
      </w:r>
    </w:p>
    <w:p w14:paraId="6AA7B27D">
      <w:pPr>
        <w:numPr>
          <w:ilvl w:val="0"/>
          <w:numId w:val="0"/>
        </w:numPr>
        <w:spacing w:line="560" w:lineRule="exact"/>
        <w:ind w:firstLine="640" w:firstLineChars="200"/>
        <w:rPr>
          <w:rFonts w:hint="default" w:eastAsia="仿宋_GB2312" w:cs="仿宋_GB2312"/>
          <w:highlight w:val="none"/>
          <w:lang w:val="en-US" w:eastAsia="zh-CN"/>
        </w:rPr>
      </w:pPr>
      <w:r>
        <w:rPr>
          <w:rFonts w:hint="eastAsia" w:cs="仿宋_GB2312"/>
          <w:highlight w:val="none"/>
          <w:lang w:eastAsia="zh-CN"/>
        </w:rPr>
        <w:t>（</w:t>
      </w:r>
      <w:r>
        <w:rPr>
          <w:rFonts w:hint="eastAsia" w:cs="仿宋_GB2312"/>
          <w:highlight w:val="none"/>
          <w:lang w:val="en-US" w:eastAsia="zh-CN"/>
        </w:rPr>
        <w:t>一</w:t>
      </w:r>
      <w:r>
        <w:rPr>
          <w:rFonts w:hint="eastAsia" w:cs="仿宋_GB2312"/>
          <w:highlight w:val="none"/>
          <w:lang w:eastAsia="zh-CN"/>
        </w:rPr>
        <w:t>）</w:t>
      </w:r>
      <w:r>
        <w:rPr>
          <w:rFonts w:hint="eastAsia" w:cs="仿宋_GB2312"/>
          <w:highlight w:val="none"/>
          <w:lang w:val="en-US" w:eastAsia="zh-CN"/>
        </w:rPr>
        <w:t>主要框架及技术指标</w:t>
      </w:r>
    </w:p>
    <w:p w14:paraId="4E495F05">
      <w:pPr>
        <w:widowControl w:val="0"/>
        <w:numPr>
          <w:ilvl w:val="0"/>
          <w:numId w:val="0"/>
        </w:numPr>
        <w:spacing w:line="560" w:lineRule="exact"/>
        <w:ind w:firstLine="640"/>
        <w:jc w:val="both"/>
        <w:rPr>
          <w:rFonts w:hint="eastAsia" w:cs="仿宋_GB2312"/>
          <w:highlight w:val="none"/>
          <w:lang w:val="en-US" w:eastAsia="zh-CN"/>
        </w:rPr>
      </w:pPr>
      <w:r>
        <w:rPr>
          <w:rFonts w:hint="eastAsia" w:cs="仿宋_GB2312"/>
          <w:highlight w:val="none"/>
          <w:lang w:val="en-US" w:eastAsia="zh-CN"/>
        </w:rPr>
        <w:t>主要包括八大模块：前言、范围、规范性引用文件、管理要求、消毒卫生指标、常见消毒对象的消毒方法、采样及检验方法。资料性附录：</w:t>
      </w:r>
      <w:r>
        <w:rPr>
          <w:rFonts w:hint="eastAsia" w:ascii="仿宋" w:hAnsi="仿宋" w:eastAsia="仿宋" w:cs="仿宋"/>
          <w:highlight w:val="none"/>
          <w:vertAlign w:val="baseline"/>
          <w:lang w:val="en-US" w:eastAsia="zh-CN"/>
        </w:rPr>
        <w:t>常用消毒剂使用方法</w:t>
      </w:r>
      <w:r>
        <w:rPr>
          <w:rFonts w:hint="eastAsia" w:cs="仿宋_GB2312"/>
          <w:highlight w:val="none"/>
          <w:lang w:val="en-US" w:eastAsia="zh-CN"/>
        </w:rPr>
        <w:t>，规范性附录：采样及检验方法。</w:t>
      </w:r>
    </w:p>
    <w:p w14:paraId="0109727A">
      <w:pPr>
        <w:widowControl w:val="0"/>
        <w:numPr>
          <w:ilvl w:val="0"/>
          <w:numId w:val="2"/>
        </w:numPr>
        <w:spacing w:line="560" w:lineRule="exact"/>
        <w:ind w:firstLine="640" w:firstLineChars="0"/>
        <w:jc w:val="both"/>
        <w:rPr>
          <w:rFonts w:hint="default" w:cs="仿宋_GB2312"/>
          <w:highlight w:val="none"/>
          <w:lang w:val="en-US" w:eastAsia="zh-CN"/>
        </w:rPr>
      </w:pPr>
      <w:r>
        <w:rPr>
          <w:rFonts w:hint="eastAsia" w:cs="仿宋_GB2312"/>
          <w:highlight w:val="none"/>
          <w:lang w:val="en-US" w:eastAsia="zh-CN"/>
        </w:rPr>
        <w:t>管理要求包括基本要求和消毒原则，基本要求中对托幼机构消毒方案、应急预案等规章制度、消毒人员培训、个人防护、消毒物资准备等提出要求。</w:t>
      </w:r>
    </w:p>
    <w:p w14:paraId="4B3FC1E7">
      <w:pPr>
        <w:widowControl w:val="0"/>
        <w:numPr>
          <w:ilvl w:val="0"/>
          <w:numId w:val="2"/>
        </w:numPr>
        <w:spacing w:line="560" w:lineRule="exact"/>
        <w:ind w:left="0" w:leftChars="0" w:firstLine="640" w:firstLineChars="0"/>
        <w:jc w:val="both"/>
        <w:rPr>
          <w:rFonts w:hint="eastAsia" w:cs="仿宋_GB2312"/>
          <w:highlight w:val="none"/>
          <w:lang w:val="en-US" w:eastAsia="zh-CN"/>
        </w:rPr>
      </w:pPr>
      <w:r>
        <w:rPr>
          <w:rFonts w:hint="eastAsia" w:cs="仿宋_GB2312"/>
          <w:highlight w:val="none"/>
          <w:lang w:val="en-US" w:eastAsia="zh-CN"/>
        </w:rPr>
        <w:t>消毒卫生指标：包括室内空气的细菌菌落总数（沉降法，动态和静态）、手、物体表面的细菌菌落总数和致病菌[大肠菌群（发酵法）、金黄色葡萄球菌、铜绿假单胞菌、溶血性链球菌]、餐（饮）具的大肠菌群（发酵法和纸片法）和沙门氏菌、使用中的紫外线灯辐射强度、使用中消毒液的有效成分浓度。</w:t>
      </w:r>
    </w:p>
    <w:p w14:paraId="0585DDCE">
      <w:pPr>
        <w:widowControl w:val="0"/>
        <w:numPr>
          <w:ilvl w:val="0"/>
          <w:numId w:val="2"/>
        </w:numPr>
        <w:spacing w:line="560" w:lineRule="exact"/>
        <w:ind w:left="0" w:leftChars="0" w:firstLine="640" w:firstLineChars="0"/>
        <w:jc w:val="both"/>
        <w:rPr>
          <w:rFonts w:hint="eastAsia" w:cs="仿宋_GB2312"/>
          <w:highlight w:val="none"/>
          <w:lang w:val="en-US" w:eastAsia="zh-CN"/>
        </w:rPr>
      </w:pPr>
      <w:r>
        <w:rPr>
          <w:rFonts w:hint="eastAsia" w:cs="仿宋_GB2312"/>
          <w:highlight w:val="none"/>
          <w:lang w:val="en-US" w:eastAsia="zh-CN"/>
        </w:rPr>
        <w:t>常见消毒对象的消毒方法：一是预防性消毒，包括室内空气、地面及物体表面、毛巾和床上用品等织物、手、餐（饮）具、常用医疗器械、垃圾存放点、清洁用具、呕吐物、排泄物；二是疫源地消毒，介绍了消毒依据、专业性和时效性要求；三是常用消毒剂使用方法，针对不</w:t>
      </w:r>
      <w:r>
        <w:rPr>
          <w:rFonts w:hint="eastAsia" w:cs="仿宋_GB2312"/>
          <w:highlight w:val="none"/>
          <w:lang w:val="en-US" w:eastAsia="zh-CN"/>
        </w:rPr>
        <w:t>同</w:t>
      </w:r>
      <w:r>
        <w:rPr>
          <w:rFonts w:hint="eastAsia" w:cs="仿宋_GB2312"/>
          <w:highlight w:val="none"/>
          <w:lang w:val="en-US" w:eastAsia="zh-CN"/>
        </w:rPr>
        <w:t>消毒对象需使用不同的消毒剂，主要介绍不同消毒剂的应用范围、使用方法和注意事项等。</w:t>
      </w:r>
    </w:p>
    <w:p w14:paraId="510097D3">
      <w:pPr>
        <w:widowControl w:val="0"/>
        <w:numPr>
          <w:ilvl w:val="0"/>
          <w:numId w:val="2"/>
        </w:numPr>
        <w:spacing w:line="560" w:lineRule="exact"/>
        <w:ind w:left="0" w:leftChars="0" w:firstLine="640" w:firstLineChars="0"/>
        <w:jc w:val="both"/>
        <w:rPr>
          <w:rFonts w:hint="default" w:cs="仿宋_GB2312"/>
          <w:highlight w:val="none"/>
          <w:lang w:val="en-US" w:eastAsia="zh-CN"/>
        </w:rPr>
      </w:pPr>
      <w:r>
        <w:rPr>
          <w:rFonts w:hint="eastAsia" w:cs="仿宋_GB2312"/>
          <w:highlight w:val="none"/>
          <w:lang w:val="en-US" w:eastAsia="zh-CN"/>
        </w:rPr>
        <w:t>采样及检验方法：详细说明了消毒前后的采样原则、采样方法、注意事项、实验室检测方法、计算公式和注意事项等内容。便于疾控系统、监督机构或其他检验检测机构在针对托幼机构的消毒质量评价时参考。</w:t>
      </w:r>
    </w:p>
    <w:p w14:paraId="21F1F6B4">
      <w:pPr>
        <w:widowControl w:val="0"/>
        <w:numPr>
          <w:ilvl w:val="0"/>
          <w:numId w:val="0"/>
        </w:numPr>
        <w:spacing w:line="560" w:lineRule="exact"/>
        <w:ind w:firstLine="640" w:firstLineChars="0"/>
        <w:jc w:val="both"/>
        <w:rPr>
          <w:rFonts w:hint="eastAsia" w:cs="仿宋_GB2312"/>
          <w:highlight w:val="none"/>
          <w:lang w:val="en-US" w:eastAsia="zh-CN"/>
        </w:rPr>
      </w:pPr>
      <w:r>
        <w:rPr>
          <w:rFonts w:hint="eastAsia" w:ascii="Times New Roman" w:hAnsi="Times New Roman" w:eastAsia="仿宋_GB2312" w:cs="仿宋_GB2312"/>
          <w:kern w:val="2"/>
          <w:sz w:val="32"/>
          <w:szCs w:val="32"/>
          <w:highlight w:val="none"/>
          <w:lang w:val="en-US" w:eastAsia="zh-CN" w:bidi="ar-SA"/>
        </w:rPr>
        <w:t>（二）</w:t>
      </w:r>
      <w:r>
        <w:rPr>
          <w:rFonts w:hint="eastAsia" w:cs="仿宋_GB2312"/>
          <w:highlight w:val="none"/>
          <w:lang w:val="en-US" w:eastAsia="zh-CN"/>
        </w:rPr>
        <w:t>消毒卫生指标</w:t>
      </w:r>
    </w:p>
    <w:p w14:paraId="7EF87BB7">
      <w:pPr>
        <w:widowControl w:val="0"/>
        <w:numPr>
          <w:ilvl w:val="0"/>
          <w:numId w:val="0"/>
        </w:numPr>
        <w:spacing w:line="560" w:lineRule="exact"/>
        <w:ind w:firstLine="640" w:firstLineChars="200"/>
        <w:jc w:val="both"/>
        <w:rPr>
          <w:rFonts w:hint="eastAsia" w:cs="仿宋_GB2312"/>
          <w:highlight w:val="none"/>
          <w:lang w:val="en-US" w:eastAsia="zh-CN"/>
        </w:rPr>
      </w:pPr>
      <w:r>
        <w:rPr>
          <w:rFonts w:hint="eastAsia" w:cs="仿宋_GB2312"/>
          <w:highlight w:val="none"/>
          <w:lang w:val="en-US" w:eastAsia="zh-CN"/>
        </w:rPr>
        <w:t>表1为具体的消毒卫生指标及限值要求。室内空气、物体表面和手的卫生指标，主要依据《消毒技术规范》（2002版）以及《医院消毒卫生标准》（GB15982）中的相关限值要求进行设定。这些标准为消毒质量监测提供了科学、规范的参考依据，也确保卫生指标的合理性和有效性。其中，致病性指标并非常规检测项目，仅在发生传染病流行或其他必要情况下，才需对其进行针对性检测，以保障托幼机构卫生安全。</w:t>
      </w:r>
    </w:p>
    <w:p w14:paraId="36B63588">
      <w:pPr>
        <w:widowControl w:val="0"/>
        <w:numPr>
          <w:ilvl w:val="0"/>
          <w:numId w:val="0"/>
        </w:numPr>
        <w:spacing w:line="560" w:lineRule="exact"/>
        <w:ind w:firstLine="640" w:firstLineChars="200"/>
        <w:jc w:val="both"/>
        <w:rPr>
          <w:rFonts w:hint="default" w:cs="仿宋_GB2312"/>
          <w:highlight w:val="none"/>
          <w:lang w:val="en-US" w:eastAsia="zh-CN"/>
        </w:rPr>
      </w:pPr>
      <w:r>
        <w:rPr>
          <w:rFonts w:hint="default" w:cs="仿宋_GB2312"/>
          <w:highlight w:val="none"/>
          <w:lang w:val="en-US" w:eastAsia="zh-CN"/>
        </w:rPr>
        <w:t>紫外线灯作为托幼机构常规的空气消毒设备，其消毒效果直接关系到幼儿的健康安全。本文件将紫外线灯纳入监测项目，旨在推动托幼机构对其给予足够重视，确保紫外线灯的消毒功能正常发挥，避免因设备故障或使用不当导致消毒目的无法实现。</w:t>
      </w:r>
    </w:p>
    <w:p w14:paraId="5B84968A">
      <w:pPr>
        <w:widowControl w:val="0"/>
        <w:numPr>
          <w:ilvl w:val="0"/>
          <w:numId w:val="0"/>
        </w:numPr>
        <w:spacing w:line="560" w:lineRule="exact"/>
        <w:ind w:firstLine="640" w:firstLineChars="200"/>
        <w:jc w:val="both"/>
        <w:rPr>
          <w:rFonts w:hint="default" w:cs="仿宋_GB2312"/>
          <w:highlight w:val="none"/>
          <w:lang w:val="en-US" w:eastAsia="zh-CN"/>
        </w:rPr>
      </w:pPr>
      <w:r>
        <w:rPr>
          <w:rFonts w:hint="default" w:cs="仿宋_GB2312"/>
          <w:highlight w:val="none"/>
          <w:lang w:val="en-US" w:eastAsia="zh-CN"/>
        </w:rPr>
        <w:t>托幼机构在日常运营中，广泛使用消毒液进行消毒。一方面，保健室常备消毒液用于日常消毒处理；另一方面，在入园门口、教室、卫生间等关键位置设置了手消毒点。然而，如果托幼机构对使用中的消毒液管理不规范，可能会出现以下问题：一是消毒液被污染，影响消毒效果；二是消毒液开封后长期放置，导致有效消毒成分浓度降低，进而削弱消毒能力。因此，对使用中的消毒液进行监测是十分必要的，通过监测可以及时掌握消毒液的质量状况，确保其消毒效果符合标准要求。</w:t>
      </w:r>
    </w:p>
    <w:p w14:paraId="7CA3B08E">
      <w:pPr>
        <w:widowControl w:val="0"/>
        <w:numPr>
          <w:ilvl w:val="0"/>
          <w:numId w:val="0"/>
        </w:numPr>
        <w:spacing w:line="560" w:lineRule="exact"/>
        <w:jc w:val="center"/>
        <w:rPr>
          <w:rFonts w:hint="default" w:cs="仿宋_GB2312"/>
          <w:highlight w:val="none"/>
          <w:lang w:val="en-US" w:eastAsia="zh-CN"/>
        </w:rPr>
      </w:pPr>
      <w:r>
        <w:rPr>
          <w:rFonts w:hint="eastAsia" w:ascii="黑体" w:hAnsi="黑体" w:eastAsia="黑体" w:cs="黑体"/>
          <w:color w:val="auto"/>
          <w:kern w:val="0"/>
          <w:sz w:val="21"/>
          <w:szCs w:val="21"/>
          <w:highlight w:val="none"/>
        </w:rPr>
        <w:t>表</w:t>
      </w:r>
      <w:r>
        <w:rPr>
          <w:rFonts w:hint="eastAsia" w:ascii="黑体" w:hAnsi="黑体" w:eastAsia="黑体" w:cs="黑体"/>
          <w:color w:val="auto"/>
          <w:kern w:val="0"/>
          <w:sz w:val="21"/>
          <w:szCs w:val="21"/>
          <w:highlight w:val="none"/>
          <w:lang w:val="en-US" w:eastAsia="zh-CN"/>
        </w:rPr>
        <w:t>1</w:t>
      </w:r>
      <w:r>
        <w:rPr>
          <w:rFonts w:hint="eastAsia" w:ascii="黑体" w:hAnsi="黑体" w:eastAsia="黑体" w:cs="黑体"/>
          <w:color w:val="auto"/>
          <w:kern w:val="0"/>
          <w:sz w:val="21"/>
          <w:szCs w:val="21"/>
          <w:highlight w:val="none"/>
        </w:rPr>
        <w:t>  托幼机构消毒卫生指标</w:t>
      </w:r>
    </w:p>
    <w:tbl>
      <w:tblPr>
        <w:tblStyle w:val="5"/>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871"/>
        <w:gridCol w:w="4553"/>
        <w:gridCol w:w="2098"/>
      </w:tblGrid>
      <w:tr w14:paraId="7836E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69" w:hRule="atLeast"/>
        </w:trPr>
        <w:tc>
          <w:tcPr>
            <w:tcW w:w="2050" w:type="dxa"/>
            <w:tcBorders>
              <w:tl2br w:val="nil"/>
              <w:tr2bl w:val="nil"/>
            </w:tcBorders>
            <w:noWrap w:val="0"/>
            <w:vAlign w:val="center"/>
          </w:tcPr>
          <w:p w14:paraId="50F50B2F">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对  象</w:t>
            </w:r>
          </w:p>
        </w:tc>
        <w:tc>
          <w:tcPr>
            <w:tcW w:w="5143" w:type="dxa"/>
            <w:tcBorders>
              <w:tl2br w:val="nil"/>
              <w:tr2bl w:val="nil"/>
            </w:tcBorders>
            <w:noWrap w:val="0"/>
            <w:vAlign w:val="center"/>
          </w:tcPr>
          <w:p w14:paraId="6896185F">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项目</w:t>
            </w:r>
          </w:p>
        </w:tc>
        <w:tc>
          <w:tcPr>
            <w:tcW w:w="2378" w:type="dxa"/>
            <w:tcBorders>
              <w:tl2br w:val="nil"/>
              <w:tr2bl w:val="nil"/>
            </w:tcBorders>
            <w:noWrap w:val="0"/>
            <w:vAlign w:val="center"/>
          </w:tcPr>
          <w:p w14:paraId="6FABF102">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卫生指标</w:t>
            </w:r>
          </w:p>
        </w:tc>
      </w:tr>
      <w:tr w14:paraId="1EC1A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2050" w:type="dxa"/>
            <w:tcBorders>
              <w:tl2br w:val="nil"/>
              <w:tr2bl w:val="nil"/>
            </w:tcBorders>
            <w:noWrap w:val="0"/>
            <w:vAlign w:val="center"/>
          </w:tcPr>
          <w:p w14:paraId="1A602709">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室内空气</w:t>
            </w:r>
          </w:p>
        </w:tc>
        <w:tc>
          <w:tcPr>
            <w:tcW w:w="5143" w:type="dxa"/>
            <w:tcBorders>
              <w:tl2br w:val="nil"/>
              <w:tr2bl w:val="nil"/>
            </w:tcBorders>
            <w:noWrap w:val="0"/>
            <w:vAlign w:val="top"/>
          </w:tcPr>
          <w:p w14:paraId="18BC29D2">
            <w:pPr>
              <w:widowControl/>
              <w:numPr>
                <w:ilvl w:val="0"/>
                <w:numId w:val="0"/>
              </w:numPr>
              <w:ind w:left="0" w:leftChars="0" w:firstLine="180" w:firstLineChars="100"/>
              <w:jc w:val="left"/>
              <w:rPr>
                <w:rFonts w:hint="default" w:ascii="宋体" w:hAnsi="宋体" w:eastAsia="宋体" w:cs="宋体"/>
                <w:color w:val="auto"/>
                <w:kern w:val="0"/>
                <w:sz w:val="18"/>
                <w:szCs w:val="18"/>
                <w:highlight w:val="none"/>
                <w:lang w:val="en-US"/>
              </w:rPr>
            </w:pPr>
            <w:r>
              <w:rPr>
                <w:rFonts w:hint="default" w:ascii="宋体" w:hAnsi="宋体" w:eastAsia="宋体" w:cs="宋体"/>
                <w:color w:val="auto"/>
                <w:kern w:val="0"/>
                <w:sz w:val="18"/>
                <w:szCs w:val="18"/>
                <w:highlight w:val="none"/>
                <w:lang w:val="en-US" w:eastAsia="zh-CN" w:bidi="ar-SA"/>
              </w:rPr>
              <w:t>1.</w:t>
            </w:r>
            <w:r>
              <w:rPr>
                <w:rFonts w:hint="eastAsia" w:ascii="宋体" w:hAnsi="宋体" w:eastAsia="宋体" w:cs="宋体"/>
                <w:color w:val="auto"/>
                <w:kern w:val="0"/>
                <w:sz w:val="18"/>
                <w:szCs w:val="18"/>
                <w:highlight w:val="none"/>
              </w:rPr>
              <w:t>细菌菌落总数</w:t>
            </w:r>
            <w:r>
              <w:rPr>
                <w:rFonts w:hint="eastAsia" w:ascii="宋体" w:hAnsi="宋体" w:eastAsia="宋体" w:cs="宋体"/>
                <w:color w:val="auto"/>
                <w:kern w:val="0"/>
                <w:sz w:val="18"/>
                <w:szCs w:val="18"/>
                <w:highlight w:val="none"/>
                <w:lang w:val="en-US" w:eastAsia="zh-CN"/>
              </w:rPr>
              <w:t>沉降法（</w:t>
            </w:r>
            <w:r>
              <w:rPr>
                <w:rFonts w:hint="eastAsia" w:ascii="宋体" w:hAnsi="宋体" w:eastAsia="宋体" w:cs="宋体"/>
                <w:color w:val="auto"/>
                <w:kern w:val="0"/>
                <w:sz w:val="18"/>
                <w:szCs w:val="18"/>
                <w:highlight w:val="none"/>
              </w:rPr>
              <w:t>动态</w:t>
            </w:r>
            <w:r>
              <w:rPr>
                <w:rFonts w:hint="eastAsia" w:ascii="宋体" w:hAnsi="宋体" w:eastAsia="宋体" w:cs="宋体"/>
                <w:color w:val="auto"/>
                <w:kern w:val="0"/>
                <w:sz w:val="18"/>
                <w:szCs w:val="18"/>
                <w:highlight w:val="none"/>
                <w:lang w:val="en-US" w:eastAsia="zh-CN"/>
              </w:rPr>
              <w:t>）/</w:t>
            </w:r>
            <w:r>
              <w:rPr>
                <w:rFonts w:hint="eastAsia" w:ascii="宋体" w:hAnsi="宋体" w:eastAsia="宋体" w:cs="宋体"/>
                <w:color w:val="auto"/>
                <w:kern w:val="0"/>
                <w:sz w:val="18"/>
                <w:szCs w:val="18"/>
                <w:highlight w:val="none"/>
              </w:rPr>
              <w:t>（CFU/皿·5</w:t>
            </w:r>
            <w:r>
              <w:rPr>
                <w:rFonts w:hint="eastAsia" w:ascii="宋体" w:hAnsi="宋体" w:cs="宋体"/>
                <w:color w:val="auto"/>
                <w:w w:val="50"/>
                <w:kern w:val="0"/>
                <w:sz w:val="21"/>
                <w:szCs w:val="21"/>
                <w:highlight w:val="none"/>
                <w:lang w:val="en-US" w:eastAsia="zh-CN"/>
              </w:rPr>
              <w:t xml:space="preserve"> </w:t>
            </w:r>
            <w:r>
              <w:rPr>
                <w:rFonts w:hint="eastAsia" w:ascii="宋体" w:hAnsi="宋体" w:eastAsia="宋体" w:cs="宋体"/>
                <w:color w:val="auto"/>
                <w:kern w:val="0"/>
                <w:sz w:val="18"/>
                <w:szCs w:val="18"/>
                <w:highlight w:val="none"/>
              </w:rPr>
              <w:t>min）</w:t>
            </w:r>
          </w:p>
          <w:p w14:paraId="298C1957">
            <w:pPr>
              <w:widowControl/>
              <w:numPr>
                <w:ilvl w:val="0"/>
                <w:numId w:val="0"/>
              </w:numPr>
              <w:ind w:left="0" w:leftChars="0" w:firstLine="180" w:firstLineChars="100"/>
              <w:jc w:val="left"/>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 xml:space="preserve">2. </w:t>
            </w:r>
            <w:r>
              <w:rPr>
                <w:rFonts w:hint="eastAsia" w:ascii="宋体" w:hAnsi="宋体" w:eastAsia="宋体" w:cs="宋体"/>
                <w:color w:val="auto"/>
                <w:kern w:val="0"/>
                <w:sz w:val="18"/>
                <w:szCs w:val="18"/>
                <w:highlight w:val="none"/>
              </w:rPr>
              <w:t>细菌菌落总数</w:t>
            </w:r>
            <w:r>
              <w:rPr>
                <w:rFonts w:hint="eastAsia" w:ascii="宋体" w:hAnsi="宋体" w:eastAsia="宋体" w:cs="宋体"/>
                <w:color w:val="auto"/>
                <w:kern w:val="0"/>
                <w:sz w:val="18"/>
                <w:szCs w:val="18"/>
                <w:highlight w:val="none"/>
                <w:lang w:val="en-US" w:eastAsia="zh-CN"/>
              </w:rPr>
              <w:t>沉降法（</w:t>
            </w:r>
            <w:r>
              <w:rPr>
                <w:rFonts w:hint="eastAsia" w:ascii="宋体" w:hAnsi="宋体" w:eastAsia="宋体" w:cs="宋体"/>
                <w:color w:val="auto"/>
                <w:kern w:val="0"/>
                <w:sz w:val="18"/>
                <w:szCs w:val="18"/>
                <w:highlight w:val="none"/>
              </w:rPr>
              <w:t>静态</w:t>
            </w:r>
            <w:r>
              <w:rPr>
                <w:rFonts w:hint="eastAsia" w:ascii="宋体" w:hAnsi="宋体" w:eastAsia="宋体" w:cs="宋体"/>
                <w:color w:val="auto"/>
                <w:kern w:val="0"/>
                <w:sz w:val="18"/>
                <w:szCs w:val="18"/>
                <w:highlight w:val="none"/>
                <w:lang w:val="en-US" w:eastAsia="zh-CN"/>
              </w:rPr>
              <w:t>）/</w:t>
            </w:r>
            <w:r>
              <w:rPr>
                <w:rFonts w:hint="eastAsia" w:ascii="宋体" w:hAnsi="宋体" w:eastAsia="宋体" w:cs="宋体"/>
                <w:color w:val="auto"/>
                <w:kern w:val="0"/>
                <w:sz w:val="18"/>
                <w:szCs w:val="18"/>
                <w:highlight w:val="none"/>
              </w:rPr>
              <w:t>（CFU/皿·5</w:t>
            </w:r>
            <w:r>
              <w:rPr>
                <w:rFonts w:hint="eastAsia" w:ascii="宋体" w:hAnsi="宋体" w:cs="宋体"/>
                <w:color w:val="auto"/>
                <w:w w:val="50"/>
                <w:kern w:val="0"/>
                <w:sz w:val="21"/>
                <w:szCs w:val="21"/>
                <w:highlight w:val="none"/>
                <w:lang w:val="en-US" w:eastAsia="zh-CN"/>
              </w:rPr>
              <w:t xml:space="preserve"> </w:t>
            </w:r>
            <w:r>
              <w:rPr>
                <w:rFonts w:hint="eastAsia" w:ascii="宋体" w:hAnsi="宋体" w:eastAsia="宋体" w:cs="宋体"/>
                <w:color w:val="auto"/>
                <w:kern w:val="0"/>
                <w:sz w:val="18"/>
                <w:szCs w:val="18"/>
                <w:highlight w:val="none"/>
              </w:rPr>
              <w:t>min）</w:t>
            </w:r>
          </w:p>
        </w:tc>
        <w:tc>
          <w:tcPr>
            <w:tcW w:w="2378" w:type="dxa"/>
            <w:tcBorders>
              <w:tl2br w:val="nil"/>
              <w:tr2bl w:val="nil"/>
            </w:tcBorders>
            <w:noWrap w:val="0"/>
            <w:vAlign w:val="top"/>
          </w:tcPr>
          <w:p w14:paraId="44449D0C">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≤16</w:t>
            </w:r>
          </w:p>
          <w:p w14:paraId="4BC851F6">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≤4</w:t>
            </w:r>
          </w:p>
        </w:tc>
      </w:tr>
      <w:tr w14:paraId="55F74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2050" w:type="dxa"/>
            <w:tcBorders>
              <w:tl2br w:val="nil"/>
              <w:tr2bl w:val="nil"/>
            </w:tcBorders>
            <w:noWrap w:val="0"/>
            <w:vAlign w:val="center"/>
          </w:tcPr>
          <w:p w14:paraId="0FEB9A0A">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物体表面</w:t>
            </w:r>
          </w:p>
        </w:tc>
        <w:tc>
          <w:tcPr>
            <w:tcW w:w="5143" w:type="dxa"/>
            <w:tcBorders>
              <w:tl2br w:val="nil"/>
              <w:tr2bl w:val="nil"/>
            </w:tcBorders>
            <w:noWrap w:val="0"/>
            <w:vAlign w:val="top"/>
          </w:tcPr>
          <w:p w14:paraId="56CDD746">
            <w:pPr>
              <w:widowControl/>
              <w:numPr>
                <w:ilvl w:val="0"/>
                <w:numId w:val="0"/>
              </w:numPr>
              <w:ind w:left="0" w:leftChars="0" w:firstLine="180" w:firstLineChars="100"/>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bidi="ar-SA"/>
              </w:rPr>
              <w:t>1.</w:t>
            </w:r>
            <w:r>
              <w:rPr>
                <w:rFonts w:hint="eastAsia" w:ascii="宋体" w:hAnsi="宋体" w:eastAsia="宋体" w:cs="宋体"/>
                <w:color w:val="auto"/>
                <w:kern w:val="0"/>
                <w:sz w:val="18"/>
                <w:szCs w:val="18"/>
                <w:highlight w:val="none"/>
              </w:rPr>
              <w:t>细菌菌落总数（cfu/cm</w:t>
            </w:r>
            <w:r>
              <w:rPr>
                <w:rFonts w:hint="eastAsia" w:ascii="宋体" w:hAnsi="宋体" w:eastAsia="宋体" w:cs="宋体"/>
                <w:color w:val="auto"/>
                <w:kern w:val="0"/>
                <w:sz w:val="18"/>
                <w:szCs w:val="18"/>
                <w:highlight w:val="none"/>
                <w:vertAlign w:val="superscript"/>
              </w:rPr>
              <w:t>2</w:t>
            </w:r>
            <w:r>
              <w:rPr>
                <w:rFonts w:hint="eastAsia" w:ascii="宋体" w:hAnsi="宋体" w:eastAsia="宋体" w:cs="宋体"/>
                <w:color w:val="auto"/>
                <w:kern w:val="0"/>
                <w:sz w:val="18"/>
                <w:szCs w:val="18"/>
                <w:highlight w:val="none"/>
              </w:rPr>
              <w:t>）</w:t>
            </w:r>
          </w:p>
          <w:p w14:paraId="12690975">
            <w:pPr>
              <w:widowControl/>
              <w:numPr>
                <w:ilvl w:val="0"/>
                <w:numId w:val="0"/>
              </w:numPr>
              <w:ind w:left="0" w:leftChars="0" w:firstLine="180" w:firstLineChars="100"/>
              <w:jc w:val="left"/>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2. 致病菌</w:t>
            </w:r>
            <w:r>
              <w:rPr>
                <w:rFonts w:hint="eastAsia" w:ascii="宋体" w:hAnsi="宋体" w:eastAsia="宋体" w:cs="宋体"/>
                <w:color w:val="auto"/>
                <w:kern w:val="0"/>
                <w:sz w:val="18"/>
                <w:szCs w:val="18"/>
                <w:highlight w:val="none"/>
                <w:vertAlign w:val="superscript"/>
                <w:lang w:val="en-US" w:eastAsia="zh-CN" w:bidi="ar-SA"/>
              </w:rPr>
              <w:t>a</w:t>
            </w:r>
            <w:r>
              <w:rPr>
                <w:rFonts w:hint="eastAsia" w:ascii="宋体" w:hAnsi="宋体" w:eastAsia="宋体" w:cs="宋体"/>
                <w:color w:val="auto"/>
                <w:kern w:val="0"/>
                <w:sz w:val="18"/>
                <w:szCs w:val="18"/>
                <w:highlight w:val="none"/>
                <w:lang w:val="en-US" w:eastAsia="zh-CN" w:bidi="ar-SA"/>
              </w:rPr>
              <w:t>：[</w:t>
            </w:r>
            <w:r>
              <w:rPr>
                <w:rFonts w:hint="eastAsia" w:ascii="宋体" w:hAnsi="宋体" w:eastAsia="宋体" w:cs="宋体"/>
                <w:color w:val="auto"/>
                <w:kern w:val="0"/>
                <w:sz w:val="18"/>
                <w:szCs w:val="18"/>
                <w:highlight w:val="none"/>
              </w:rPr>
              <w:t>大肠菌群（发酵法）</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金黄色葡萄球菌、铜绿假单胞菌、溶血性链球菌]</w:t>
            </w:r>
          </w:p>
        </w:tc>
        <w:tc>
          <w:tcPr>
            <w:tcW w:w="2378" w:type="dxa"/>
            <w:tcBorders>
              <w:tl2br w:val="nil"/>
              <w:tr2bl w:val="nil"/>
            </w:tcBorders>
            <w:noWrap w:val="0"/>
            <w:vAlign w:val="top"/>
          </w:tcPr>
          <w:p w14:paraId="67DACDB5">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p w14:paraId="20D9E317">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不得检出</w:t>
            </w:r>
          </w:p>
        </w:tc>
      </w:tr>
      <w:tr w14:paraId="103ED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2050" w:type="dxa"/>
            <w:tcBorders>
              <w:tl2br w:val="nil"/>
              <w:tr2bl w:val="nil"/>
            </w:tcBorders>
            <w:noWrap w:val="0"/>
            <w:vAlign w:val="center"/>
          </w:tcPr>
          <w:p w14:paraId="2BCFF15B">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手</w:t>
            </w:r>
          </w:p>
        </w:tc>
        <w:tc>
          <w:tcPr>
            <w:tcW w:w="5143" w:type="dxa"/>
            <w:tcBorders>
              <w:tl2br w:val="nil"/>
              <w:tr2bl w:val="nil"/>
            </w:tcBorders>
            <w:noWrap w:val="0"/>
            <w:vAlign w:val="top"/>
          </w:tcPr>
          <w:p w14:paraId="3BAB42B3">
            <w:pPr>
              <w:widowControl/>
              <w:numPr>
                <w:ilvl w:val="0"/>
                <w:numId w:val="0"/>
              </w:numPr>
              <w:ind w:left="0" w:leftChars="0" w:firstLine="180" w:firstLineChars="100"/>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bidi="ar-SA"/>
              </w:rPr>
              <w:t>1.</w:t>
            </w:r>
            <w:r>
              <w:rPr>
                <w:rFonts w:hint="eastAsia" w:ascii="宋体" w:hAnsi="宋体" w:eastAsia="宋体" w:cs="宋体"/>
                <w:color w:val="auto"/>
                <w:kern w:val="0"/>
                <w:sz w:val="18"/>
                <w:szCs w:val="18"/>
                <w:highlight w:val="none"/>
              </w:rPr>
              <w:t>细菌菌落总数（cfu/</w:t>
            </w:r>
            <w:r>
              <w:rPr>
                <w:rFonts w:hint="eastAsia" w:ascii="宋体" w:hAnsi="宋体" w:eastAsia="宋体" w:cs="宋体"/>
                <w:color w:val="auto"/>
                <w:kern w:val="0"/>
                <w:sz w:val="18"/>
                <w:szCs w:val="18"/>
                <w:highlight w:val="none"/>
                <w:lang w:val="en-US" w:eastAsia="zh-CN"/>
              </w:rPr>
              <w:t>手</w:t>
            </w:r>
            <w:r>
              <w:rPr>
                <w:rFonts w:hint="eastAsia" w:ascii="宋体" w:hAnsi="宋体" w:eastAsia="宋体" w:cs="宋体"/>
                <w:color w:val="auto"/>
                <w:kern w:val="0"/>
                <w:sz w:val="18"/>
                <w:szCs w:val="18"/>
                <w:highlight w:val="none"/>
              </w:rPr>
              <w:t>）</w:t>
            </w:r>
          </w:p>
          <w:p w14:paraId="58A9A103">
            <w:pPr>
              <w:widowControl/>
              <w:numPr>
                <w:ilvl w:val="0"/>
                <w:numId w:val="0"/>
              </w:numPr>
              <w:ind w:left="0" w:leftChars="0" w:firstLine="180" w:firstLineChars="100"/>
              <w:jc w:val="left"/>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2. 致病菌</w:t>
            </w:r>
            <w:r>
              <w:rPr>
                <w:rFonts w:hint="eastAsia" w:ascii="宋体" w:hAnsi="宋体" w:eastAsia="宋体" w:cs="宋体"/>
                <w:color w:val="auto"/>
                <w:kern w:val="0"/>
                <w:sz w:val="18"/>
                <w:szCs w:val="18"/>
                <w:highlight w:val="none"/>
                <w:vertAlign w:val="superscript"/>
                <w:lang w:val="en-US" w:eastAsia="zh-CN" w:bidi="ar-SA"/>
              </w:rPr>
              <w:t>a</w:t>
            </w:r>
            <w:r>
              <w:rPr>
                <w:rFonts w:hint="eastAsia" w:ascii="宋体" w:hAnsi="宋体" w:eastAsia="宋体" w:cs="宋体"/>
                <w:color w:val="auto"/>
                <w:kern w:val="0"/>
                <w:sz w:val="18"/>
                <w:szCs w:val="18"/>
                <w:highlight w:val="none"/>
                <w:lang w:val="en-US" w:eastAsia="zh-CN" w:bidi="ar-SA"/>
              </w:rPr>
              <w:t>：[</w:t>
            </w:r>
            <w:r>
              <w:rPr>
                <w:rFonts w:hint="eastAsia" w:ascii="宋体" w:hAnsi="宋体" w:eastAsia="宋体" w:cs="宋体"/>
                <w:color w:val="auto"/>
                <w:kern w:val="0"/>
                <w:sz w:val="18"/>
                <w:szCs w:val="18"/>
                <w:highlight w:val="none"/>
              </w:rPr>
              <w:t>大肠菌群（发酵法）</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金黄色葡萄球菌、铜绿假单胞菌、溶血性链球菌]</w:t>
            </w:r>
          </w:p>
        </w:tc>
        <w:tc>
          <w:tcPr>
            <w:tcW w:w="2378" w:type="dxa"/>
            <w:tcBorders>
              <w:tl2br w:val="nil"/>
              <w:tr2bl w:val="nil"/>
            </w:tcBorders>
            <w:noWrap w:val="0"/>
            <w:vAlign w:val="top"/>
          </w:tcPr>
          <w:p w14:paraId="1DCF26C5">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w:t>
            </w:r>
            <w:r>
              <w:rPr>
                <w:rFonts w:hint="eastAsia" w:ascii="宋体" w:hAnsi="宋体" w:eastAsia="宋体" w:cs="宋体"/>
                <w:color w:val="auto"/>
                <w:kern w:val="0"/>
                <w:sz w:val="18"/>
                <w:szCs w:val="18"/>
                <w:highlight w:val="none"/>
                <w:lang w:val="en-US" w:eastAsia="zh-CN"/>
              </w:rPr>
              <w:t>300</w:t>
            </w:r>
          </w:p>
          <w:p w14:paraId="333787CA">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不得检出</w:t>
            </w:r>
          </w:p>
        </w:tc>
      </w:tr>
      <w:tr w14:paraId="7F415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6" w:hRule="atLeast"/>
        </w:trPr>
        <w:tc>
          <w:tcPr>
            <w:tcW w:w="2050" w:type="dxa"/>
            <w:tcBorders>
              <w:tl2br w:val="nil"/>
              <w:tr2bl w:val="nil"/>
            </w:tcBorders>
            <w:noWrap w:val="0"/>
            <w:vAlign w:val="center"/>
          </w:tcPr>
          <w:p w14:paraId="23920669">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餐</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饮</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具</w:t>
            </w:r>
          </w:p>
        </w:tc>
        <w:tc>
          <w:tcPr>
            <w:tcW w:w="5143" w:type="dxa"/>
            <w:tcBorders>
              <w:tl2br w:val="nil"/>
              <w:tr2bl w:val="nil"/>
            </w:tcBorders>
            <w:noWrap w:val="0"/>
            <w:vAlign w:val="center"/>
          </w:tcPr>
          <w:p w14:paraId="33058741">
            <w:pPr>
              <w:widowControl/>
              <w:numPr>
                <w:ilvl w:val="0"/>
                <w:numId w:val="0"/>
              </w:numPr>
              <w:ind w:firstLine="180" w:firstLineChars="100"/>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bidi="ar-SA"/>
              </w:rPr>
              <w:t>1.</w:t>
            </w:r>
            <w:r>
              <w:rPr>
                <w:rFonts w:hint="eastAsia" w:ascii="宋体" w:hAnsi="宋体" w:eastAsia="宋体" w:cs="宋体"/>
                <w:color w:val="auto"/>
                <w:kern w:val="0"/>
                <w:sz w:val="18"/>
                <w:szCs w:val="18"/>
                <w:highlight w:val="none"/>
              </w:rPr>
              <w:t>大肠菌群（发酵法、纸片法）（/50</w:t>
            </w:r>
            <w:r>
              <w:rPr>
                <w:rFonts w:hint="eastAsia" w:ascii="宋体" w:hAnsi="宋体" w:cs="宋体"/>
                <w:color w:val="auto"/>
                <w:w w:val="50"/>
                <w:kern w:val="0"/>
                <w:sz w:val="21"/>
                <w:szCs w:val="21"/>
                <w:highlight w:val="none"/>
                <w:lang w:val="en-US" w:eastAsia="zh-CN"/>
              </w:rPr>
              <w:t xml:space="preserve"> </w:t>
            </w:r>
            <w:r>
              <w:rPr>
                <w:rFonts w:hint="eastAsia" w:ascii="宋体" w:hAnsi="宋体" w:eastAsia="宋体" w:cs="宋体"/>
                <w:color w:val="auto"/>
                <w:kern w:val="0"/>
                <w:sz w:val="18"/>
                <w:szCs w:val="18"/>
                <w:highlight w:val="none"/>
              </w:rPr>
              <w:t>cm</w:t>
            </w:r>
            <w:r>
              <w:rPr>
                <w:rFonts w:hint="eastAsia" w:ascii="宋体" w:hAnsi="宋体" w:eastAsia="宋体" w:cs="宋体"/>
                <w:color w:val="auto"/>
                <w:kern w:val="0"/>
                <w:sz w:val="18"/>
                <w:szCs w:val="18"/>
                <w:highlight w:val="none"/>
                <w:vertAlign w:val="superscript"/>
              </w:rPr>
              <w:t>2</w:t>
            </w:r>
            <w:r>
              <w:rPr>
                <w:rFonts w:hint="eastAsia" w:ascii="宋体" w:hAnsi="宋体" w:eastAsia="宋体" w:cs="宋体"/>
                <w:color w:val="auto"/>
                <w:kern w:val="0"/>
                <w:sz w:val="18"/>
                <w:szCs w:val="18"/>
                <w:highlight w:val="none"/>
              </w:rPr>
              <w:t>）</w:t>
            </w:r>
          </w:p>
          <w:p w14:paraId="46388EA6">
            <w:pPr>
              <w:widowControl/>
              <w:numPr>
                <w:ilvl w:val="0"/>
                <w:numId w:val="0"/>
              </w:numPr>
              <w:ind w:firstLine="180" w:firstLineChars="100"/>
              <w:jc w:val="left"/>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 xml:space="preserve">2. </w:t>
            </w:r>
            <w:r>
              <w:rPr>
                <w:rFonts w:hint="eastAsia" w:ascii="宋体" w:hAnsi="宋体" w:eastAsia="宋体" w:cs="宋体"/>
                <w:color w:val="auto"/>
                <w:kern w:val="0"/>
                <w:sz w:val="18"/>
                <w:szCs w:val="18"/>
                <w:highlight w:val="none"/>
              </w:rPr>
              <w:t>沙门氏菌（/50</w:t>
            </w:r>
            <w:r>
              <w:rPr>
                <w:rFonts w:hint="eastAsia" w:ascii="宋体" w:hAnsi="宋体" w:cs="宋体"/>
                <w:color w:val="auto"/>
                <w:w w:val="50"/>
                <w:kern w:val="0"/>
                <w:sz w:val="21"/>
                <w:szCs w:val="21"/>
                <w:highlight w:val="none"/>
                <w:lang w:val="en-US" w:eastAsia="zh-CN"/>
              </w:rPr>
              <w:t xml:space="preserve"> </w:t>
            </w:r>
            <w:r>
              <w:rPr>
                <w:rFonts w:hint="eastAsia" w:ascii="宋体" w:hAnsi="宋体" w:eastAsia="宋体" w:cs="宋体"/>
                <w:color w:val="auto"/>
                <w:kern w:val="0"/>
                <w:sz w:val="18"/>
                <w:szCs w:val="18"/>
                <w:highlight w:val="none"/>
              </w:rPr>
              <w:t>cm</w:t>
            </w:r>
            <w:r>
              <w:rPr>
                <w:rFonts w:hint="eastAsia" w:ascii="宋体" w:hAnsi="宋体" w:eastAsia="宋体" w:cs="宋体"/>
                <w:color w:val="auto"/>
                <w:kern w:val="0"/>
                <w:sz w:val="18"/>
                <w:szCs w:val="18"/>
                <w:highlight w:val="none"/>
                <w:vertAlign w:val="superscript"/>
              </w:rPr>
              <w:t>2</w:t>
            </w:r>
            <w:r>
              <w:rPr>
                <w:rFonts w:hint="eastAsia" w:ascii="宋体" w:hAnsi="宋体" w:eastAsia="宋体" w:cs="宋体"/>
                <w:color w:val="auto"/>
                <w:kern w:val="0"/>
                <w:sz w:val="18"/>
                <w:szCs w:val="18"/>
                <w:highlight w:val="none"/>
              </w:rPr>
              <w:t>）</w:t>
            </w:r>
          </w:p>
        </w:tc>
        <w:tc>
          <w:tcPr>
            <w:tcW w:w="2378" w:type="dxa"/>
            <w:tcBorders>
              <w:tl2br w:val="nil"/>
              <w:tr2bl w:val="nil"/>
            </w:tcBorders>
            <w:noWrap w:val="0"/>
            <w:vAlign w:val="center"/>
          </w:tcPr>
          <w:p w14:paraId="4636FD11">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不得检出</w:t>
            </w:r>
          </w:p>
          <w:p w14:paraId="54E6349F">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不得检出</w:t>
            </w:r>
          </w:p>
        </w:tc>
      </w:tr>
      <w:tr w14:paraId="00D14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trPr>
        <w:tc>
          <w:tcPr>
            <w:tcW w:w="2050" w:type="dxa"/>
            <w:tcBorders>
              <w:tl2br w:val="nil"/>
              <w:tr2bl w:val="nil"/>
            </w:tcBorders>
            <w:noWrap w:val="0"/>
            <w:vAlign w:val="center"/>
          </w:tcPr>
          <w:p w14:paraId="78117829">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rPr>
              <w:t>紫外线灯</w:t>
            </w:r>
          </w:p>
        </w:tc>
        <w:tc>
          <w:tcPr>
            <w:tcW w:w="5143" w:type="dxa"/>
            <w:tcBorders>
              <w:tl2br w:val="nil"/>
              <w:tr2bl w:val="nil"/>
            </w:tcBorders>
            <w:noWrap w:val="0"/>
            <w:vAlign w:val="center"/>
          </w:tcPr>
          <w:p w14:paraId="0843C53A">
            <w:pPr>
              <w:widowControl/>
              <w:numPr>
                <w:ilvl w:val="0"/>
                <w:numId w:val="0"/>
              </w:numPr>
              <w:ind w:left="0" w:leftChars="0" w:firstLine="180" w:firstLineChars="100"/>
              <w:jc w:val="left"/>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1.</w:t>
            </w:r>
            <w:r>
              <w:rPr>
                <w:rFonts w:hint="eastAsia" w:ascii="宋体" w:hAnsi="宋体" w:eastAsia="宋体" w:cs="宋体"/>
                <w:color w:val="auto"/>
                <w:kern w:val="0"/>
                <w:sz w:val="18"/>
                <w:szCs w:val="18"/>
                <w:highlight w:val="none"/>
                <w:lang w:val="en-US" w:eastAsia="zh-CN"/>
              </w:rPr>
              <w:t>辐照强度（使用中）/（</w:t>
            </w:r>
            <w:r>
              <w:rPr>
                <w:rFonts w:hint="eastAsia" w:ascii="宋体" w:hAnsi="宋体" w:eastAsia="宋体" w:cs="宋体"/>
                <w:color w:val="auto"/>
                <w:kern w:val="0"/>
                <w:sz w:val="18"/>
                <w:szCs w:val="18"/>
                <w:highlight w:val="none"/>
              </w:rPr>
              <w:t>μW/cm</w:t>
            </w:r>
            <w:r>
              <w:rPr>
                <w:rFonts w:hint="eastAsia" w:ascii="宋体" w:hAnsi="宋体" w:eastAsia="宋体" w:cs="宋体"/>
                <w:color w:val="auto"/>
                <w:kern w:val="0"/>
                <w:sz w:val="18"/>
                <w:szCs w:val="18"/>
                <w:highlight w:val="none"/>
                <w:vertAlign w:val="superscript"/>
              </w:rPr>
              <w:t>2</w:t>
            </w:r>
            <w:r>
              <w:rPr>
                <w:rFonts w:hint="eastAsia" w:ascii="宋体" w:hAnsi="宋体" w:eastAsia="宋体" w:cs="宋体"/>
                <w:color w:val="auto"/>
                <w:kern w:val="0"/>
                <w:sz w:val="18"/>
                <w:szCs w:val="18"/>
                <w:highlight w:val="none"/>
                <w:lang w:val="en-US" w:eastAsia="zh-CN"/>
              </w:rPr>
              <w:t>）</w:t>
            </w:r>
          </w:p>
        </w:tc>
        <w:tc>
          <w:tcPr>
            <w:tcW w:w="2378" w:type="dxa"/>
            <w:tcBorders>
              <w:tl2br w:val="nil"/>
              <w:tr2bl w:val="nil"/>
            </w:tcBorders>
            <w:noWrap w:val="0"/>
            <w:vAlign w:val="center"/>
          </w:tcPr>
          <w:p w14:paraId="5E18631D">
            <w:pPr>
              <w:widowControl/>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rPr>
              <w:t>≥70</w:t>
            </w:r>
          </w:p>
        </w:tc>
      </w:tr>
      <w:tr w14:paraId="5BB0F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9" w:hRule="atLeast"/>
        </w:trPr>
        <w:tc>
          <w:tcPr>
            <w:tcW w:w="2050" w:type="dxa"/>
            <w:tcBorders>
              <w:tl2br w:val="nil"/>
              <w:tr2bl w:val="nil"/>
            </w:tcBorders>
            <w:noWrap w:val="0"/>
            <w:vAlign w:val="center"/>
          </w:tcPr>
          <w:p w14:paraId="761B7CD3">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使用中的消毒液</w:t>
            </w:r>
          </w:p>
        </w:tc>
        <w:tc>
          <w:tcPr>
            <w:tcW w:w="5143" w:type="dxa"/>
            <w:tcBorders>
              <w:tl2br w:val="nil"/>
              <w:tr2bl w:val="nil"/>
            </w:tcBorders>
            <w:noWrap w:val="0"/>
            <w:vAlign w:val="center"/>
          </w:tcPr>
          <w:p w14:paraId="46D4B24B">
            <w:pPr>
              <w:widowControl/>
              <w:numPr>
                <w:ilvl w:val="0"/>
                <w:numId w:val="0"/>
              </w:numPr>
              <w:ind w:firstLine="180" w:firstLineChars="100"/>
              <w:jc w:val="both"/>
              <w:rPr>
                <w:rFonts w:hint="default"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bidi="ar-SA"/>
              </w:rPr>
              <w:t>1.</w:t>
            </w:r>
            <w:r>
              <w:rPr>
                <w:rFonts w:hint="eastAsia" w:ascii="宋体" w:hAnsi="宋体" w:eastAsia="宋体" w:cs="宋体"/>
                <w:color w:val="auto"/>
                <w:kern w:val="0"/>
                <w:sz w:val="18"/>
                <w:szCs w:val="18"/>
                <w:highlight w:val="none"/>
                <w:lang w:val="en-US" w:eastAsia="zh-CN"/>
              </w:rPr>
              <w:t>有效成分浓度测定</w:t>
            </w:r>
          </w:p>
        </w:tc>
        <w:tc>
          <w:tcPr>
            <w:tcW w:w="2378" w:type="dxa"/>
            <w:tcBorders>
              <w:tl2br w:val="nil"/>
              <w:tr2bl w:val="nil"/>
            </w:tcBorders>
            <w:noWrap w:val="0"/>
            <w:vAlign w:val="center"/>
          </w:tcPr>
          <w:p w14:paraId="39E9710D">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符合产品说明书的规定</w:t>
            </w:r>
          </w:p>
        </w:tc>
      </w:tr>
      <w:tr w14:paraId="2F492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8" w:hRule="atLeast"/>
        </w:trPr>
        <w:tc>
          <w:tcPr>
            <w:tcW w:w="9571" w:type="dxa"/>
            <w:gridSpan w:val="3"/>
            <w:tcBorders>
              <w:tl2br w:val="nil"/>
              <w:tr2bl w:val="nil"/>
            </w:tcBorders>
            <w:noWrap w:val="0"/>
            <w:vAlign w:val="center"/>
          </w:tcPr>
          <w:p w14:paraId="7E766F17">
            <w:pPr>
              <w:widowControl/>
              <w:tabs>
                <w:tab w:val="left" w:pos="2169"/>
              </w:tabs>
              <w:ind w:firstLine="360" w:firstLineChars="200"/>
              <w:jc w:val="left"/>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a：必要时检测。</w:t>
            </w:r>
          </w:p>
        </w:tc>
      </w:tr>
    </w:tbl>
    <w:p w14:paraId="17E8A475">
      <w:pPr>
        <w:numPr>
          <w:ilvl w:val="0"/>
          <w:numId w:val="0"/>
        </w:numPr>
        <w:spacing w:line="560" w:lineRule="exact"/>
        <w:ind w:left="0" w:leftChars="0" w:firstLine="640" w:firstLineChars="200"/>
        <w:rPr>
          <w:rFonts w:hint="eastAsia" w:cs="仿宋_GB2312"/>
          <w:highlight w:val="none"/>
        </w:rPr>
      </w:pPr>
      <w:r>
        <w:rPr>
          <w:rFonts w:hint="eastAsia" w:ascii="黑体" w:hAnsi="黑体" w:eastAsia="黑体" w:cs="黑体"/>
          <w:kern w:val="2"/>
          <w:sz w:val="32"/>
          <w:szCs w:val="32"/>
          <w:highlight w:val="none"/>
          <w:lang w:val="en-US" w:eastAsia="zh-CN" w:bidi="ar-SA"/>
        </w:rPr>
        <w:t>三、</w:t>
      </w:r>
      <w:r>
        <w:rPr>
          <w:rFonts w:hint="eastAsia" w:ascii="黑体" w:hAnsi="黑体" w:eastAsia="黑体" w:cs="黑体"/>
          <w:highlight w:val="none"/>
        </w:rPr>
        <w:t>主要试验（或验证）的分析、综述报告，技术经济论证，预期经济社会生态效益分析</w:t>
      </w:r>
      <w:r>
        <w:rPr>
          <w:rFonts w:hint="eastAsia" w:cs="仿宋_GB2312"/>
          <w:highlight w:val="none"/>
        </w:rPr>
        <w:t>；</w:t>
      </w:r>
    </w:p>
    <w:p w14:paraId="297EF5D0">
      <w:pPr>
        <w:widowControl w:val="0"/>
        <w:numPr>
          <w:ilvl w:val="0"/>
          <w:numId w:val="0"/>
        </w:numPr>
        <w:spacing w:line="560" w:lineRule="exact"/>
        <w:ind w:firstLine="640" w:firstLineChars="200"/>
        <w:jc w:val="both"/>
        <w:rPr>
          <w:rFonts w:hint="eastAsia" w:cs="仿宋_GB2312"/>
          <w:highlight w:val="none"/>
          <w:lang w:val="en-US" w:eastAsia="zh-CN"/>
        </w:rPr>
      </w:pPr>
      <w:r>
        <w:rPr>
          <w:rFonts w:hint="eastAsia" w:cs="仿宋_GB2312"/>
          <w:highlight w:val="none"/>
        </w:rPr>
        <w:t>（一）</w:t>
      </w:r>
      <w:r>
        <w:rPr>
          <w:rFonts w:hint="eastAsia" w:cs="仿宋_GB2312"/>
          <w:highlight w:val="none"/>
          <w:lang w:val="en-US" w:eastAsia="zh-CN"/>
        </w:rPr>
        <w:t>技术经济论证</w:t>
      </w:r>
    </w:p>
    <w:p w14:paraId="4CEA7C4C">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1. 技术可行性</w:t>
      </w:r>
    </w:p>
    <w:p w14:paraId="22B49451">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采样与检测技术：本标准采用的采样和检测技术均为成熟方法，具有较高的准确性和可靠性。例如，平皿沉降法、棉拭子涂抹法、发酵法等均为广泛应用于微生物检测的常用方法，能够有效满足托幼机构卫生监测的需求。</w:t>
      </w:r>
    </w:p>
    <w:p w14:paraId="7C9C313C">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设备与试剂：检测所需的设备和试剂在市场上均有稳定供应，如紫外线辐照计、培养箱、营养琼脂等，采购成本较低，易于获取。同时，这些设备和试剂的操作简便，易于掌握，能够满足托幼机构日常监测的需要。</w:t>
      </w:r>
    </w:p>
    <w:p w14:paraId="6A10F0FC">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人员培训：标准中涉及的检测方法对操作人员的技术要求相对较低，经过简单培训后，托幼机构的卫生管理人员即可熟练掌握。这有助于提高监测工作的效率，降低人力成本。</w:t>
      </w:r>
    </w:p>
    <w:p w14:paraId="209F5210">
      <w:pPr>
        <w:numPr>
          <w:ilvl w:val="0"/>
          <w:numId w:val="0"/>
        </w:numPr>
        <w:spacing w:line="560" w:lineRule="exact"/>
        <w:ind w:left="0" w:leftChars="0" w:firstLine="640" w:firstLineChars="200"/>
        <w:rPr>
          <w:rFonts w:hint="eastAsia" w:cs="仿宋_GB2312"/>
          <w:highlight w:val="none"/>
          <w:lang w:val="en-US" w:eastAsia="zh-CN"/>
        </w:rPr>
      </w:pPr>
      <w:r>
        <w:rPr>
          <w:rFonts w:hint="eastAsia" w:ascii="Times New Roman" w:hAnsi="Times New Roman" w:eastAsia="仿宋_GB2312" w:cs="仿宋_GB2312"/>
          <w:kern w:val="2"/>
          <w:sz w:val="32"/>
          <w:szCs w:val="32"/>
          <w:highlight w:val="none"/>
          <w:lang w:val="en-US" w:eastAsia="zh-CN" w:bidi="ar-SA"/>
        </w:rPr>
        <w:t>2.</w:t>
      </w:r>
      <w:r>
        <w:rPr>
          <w:rFonts w:hint="eastAsia" w:cs="仿宋_GB2312"/>
          <w:highlight w:val="none"/>
          <w:lang w:val="en-US" w:eastAsia="zh-CN"/>
        </w:rPr>
        <w:t xml:space="preserve"> 经济合理性</w:t>
      </w:r>
    </w:p>
    <w:p w14:paraId="625E6CD8">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监测成本：采用本标准规定的检测方法，监测成本较低。例如，平皿沉降法和棉拭子涂抹法所需的材料成本较低，且操作简便，无需复杂的设备和试剂。紫外线灯的辐照强度检测也只需使用紫外线辐照计或指示卡，设备成本和使用成本均在可接受范围内。</w:t>
      </w:r>
    </w:p>
    <w:p w14:paraId="6DE42FEE">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预防成本：通过定期监测托幼机构的卫生状况，及时发现并处理卫生问题，能够有效预防传染病的发生和传播。这不仅减少了因疾病爆发导致的经济损失，还降低了医疗资源的消耗，具有显著的经济效益。</w:t>
      </w:r>
    </w:p>
    <w:p w14:paraId="3E408629">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长期效益：从长期来看，严格执行本标准规定的卫生指标和检测方法，有助于提高托幼机构的卫生管理水平，增强家长和社会对托幼机构的信任度。这将促进托幼机构的可持续发展，带来更多的经济效益和社会效益。</w:t>
      </w:r>
    </w:p>
    <w:p w14:paraId="0EA4DE07">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（二）预期经济社会生态效益分析</w:t>
      </w:r>
    </w:p>
    <w:p w14:paraId="07BB8963">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1. 社会效益</w:t>
      </w:r>
    </w:p>
    <w:p w14:paraId="3CDC29DA">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保障儿童健康：严格执行本标准规定的卫生指标，能够有效减少托幼机构内的微生物污染，降低儿童感染疾病的风险，有助于保障儿童的身心健康，促进儿童的全面发展。</w:t>
      </w:r>
    </w:p>
    <w:p w14:paraId="70C24FFD">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提升社会信任：通过规范托幼机构的卫生管理，提高其卫生水平，能够增强家长和社会对托幼机构的信任度。这将有助于提高托幼机构的社会声誉，促进托幼事业的健康发展，为社会提供更加优质的学前教育服务。</w:t>
      </w:r>
    </w:p>
    <w:p w14:paraId="0101AFCF">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促进公共卫生：托幼机构是儿童集中的场所，其卫生状况直接影响到公共卫生安全。通过规范托幼机构的卫生管理，能够有效预防传染病的传播，保障公共卫生安全，为社会的稳定和发展做出贡献。</w:t>
      </w:r>
    </w:p>
    <w:p w14:paraId="0C150001">
      <w:pPr>
        <w:numPr>
          <w:ilvl w:val="0"/>
          <w:numId w:val="0"/>
        </w:numPr>
        <w:spacing w:line="560" w:lineRule="exact"/>
        <w:ind w:left="0" w:leftChars="0" w:firstLine="640" w:firstLineChars="200"/>
        <w:rPr>
          <w:rFonts w:hint="eastAsia" w:cs="仿宋_GB2312"/>
          <w:highlight w:val="none"/>
          <w:lang w:val="en-US" w:eastAsia="zh-CN"/>
        </w:rPr>
      </w:pPr>
      <w:r>
        <w:rPr>
          <w:rFonts w:hint="eastAsia" w:ascii="Times New Roman" w:hAnsi="Times New Roman" w:eastAsia="仿宋_GB2312" w:cs="仿宋_GB2312"/>
          <w:kern w:val="2"/>
          <w:sz w:val="32"/>
          <w:szCs w:val="32"/>
          <w:highlight w:val="none"/>
          <w:lang w:val="en-US" w:eastAsia="zh-CN" w:bidi="ar-SA"/>
        </w:rPr>
        <w:t>2.</w:t>
      </w:r>
      <w:r>
        <w:rPr>
          <w:rFonts w:hint="eastAsia" w:cs="仿宋_GB2312"/>
          <w:highlight w:val="none"/>
          <w:lang w:val="en-US" w:eastAsia="zh-CN"/>
        </w:rPr>
        <w:t>经济效益</w:t>
      </w:r>
    </w:p>
    <w:p w14:paraId="3F5CDC04">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降低医疗成本：通过减少儿童感染疾病的发生率，能够降低家长和社会的医疗费用支出。这不仅减轻了家庭的经济负担，还节约了社会的医疗资源，具有显著的经济效益。</w:t>
      </w:r>
    </w:p>
    <w:p w14:paraId="046A45C8">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提高托幼机构运营效率：规范的卫生管理有助于提高托幼机构的运营效率，减少因卫生问题导致的停课、整改等情况的发生。这将有助于提高托幼机构的经济效益，促进其可持续发展。</w:t>
      </w:r>
    </w:p>
    <w:p w14:paraId="27ED861B">
      <w:p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促进产业发展：本标准的实施将带动相关产业的发展，如消毒产品、检测设备、卫生用品等。这将为相关企业带来更多的市场机会，促进产业的升级和发展，为经济增长注入新的动力。</w:t>
      </w:r>
    </w:p>
    <w:p w14:paraId="79D4E2FD">
      <w:pPr>
        <w:numPr>
          <w:ilvl w:val="0"/>
          <w:numId w:val="0"/>
        </w:numPr>
        <w:spacing w:line="560" w:lineRule="exact"/>
        <w:ind w:firstLine="640" w:firstLineChars="200"/>
        <w:rPr>
          <w:rFonts w:hint="default" w:cs="仿宋_GB2312"/>
          <w:highlight w:val="none"/>
          <w:lang w:val="en-US" w:eastAsia="zh-CN"/>
        </w:rPr>
      </w:pPr>
      <w:r>
        <w:rPr>
          <w:rFonts w:hint="default" w:ascii="Times New Roman" w:hAnsi="Times New Roman" w:eastAsia="仿宋_GB2312" w:cs="仿宋_GB2312"/>
          <w:kern w:val="2"/>
          <w:sz w:val="32"/>
          <w:szCs w:val="32"/>
          <w:highlight w:val="none"/>
          <w:lang w:val="en-US" w:eastAsia="zh-CN" w:bidi="ar-SA"/>
        </w:rPr>
        <w:t>3.</w:t>
      </w:r>
      <w:r>
        <w:rPr>
          <w:rFonts w:hint="default" w:cs="仿宋_GB2312"/>
          <w:highlight w:val="none"/>
          <w:lang w:val="en-US" w:eastAsia="zh-CN"/>
        </w:rPr>
        <w:t>生态效益</w:t>
      </w:r>
    </w:p>
    <w:p w14:paraId="46175A5C">
      <w:pPr>
        <w:numPr>
          <w:ilvl w:val="0"/>
          <w:numId w:val="0"/>
        </w:numPr>
        <w:spacing w:line="560" w:lineRule="exact"/>
        <w:ind w:firstLine="640" w:firstLineChars="200"/>
        <w:rPr>
          <w:rFonts w:hint="default" w:cs="仿宋_GB2312"/>
          <w:highlight w:val="none"/>
          <w:lang w:val="en-US" w:eastAsia="zh-CN"/>
        </w:rPr>
      </w:pPr>
      <w:r>
        <w:rPr>
          <w:rFonts w:hint="default" w:cs="仿宋_GB2312"/>
          <w:highlight w:val="none"/>
          <w:lang w:val="en-US" w:eastAsia="zh-CN"/>
        </w:rPr>
        <w:t>减少环境污染：规范的卫生管理能够有效减少托幼机构内消毒剂的滥用现象。通过科学合理地选择和使用消毒剂，避免过度使用和不当使用，从而减少消毒剂对环境的污染。</w:t>
      </w:r>
    </w:p>
    <w:p w14:paraId="25EC911D">
      <w:pPr>
        <w:numPr>
          <w:ilvl w:val="0"/>
          <w:numId w:val="0"/>
        </w:numPr>
        <w:spacing w:line="560" w:lineRule="exact"/>
        <w:ind w:firstLine="640" w:firstLineChars="200"/>
        <w:rPr>
          <w:rFonts w:hint="default" w:cs="仿宋_GB2312"/>
          <w:highlight w:val="none"/>
          <w:lang w:val="en-US" w:eastAsia="zh-CN"/>
        </w:rPr>
      </w:pPr>
      <w:r>
        <w:rPr>
          <w:rFonts w:hint="default" w:cs="仿宋_GB2312"/>
          <w:highlight w:val="none"/>
          <w:lang w:val="en-US" w:eastAsia="zh-CN"/>
        </w:rPr>
        <w:t>促进资源节约：本标准在确保卫生安全的前提下，倡导科学合理的消毒方式，避免了不必要的消毒操作和资源浪费。</w:t>
      </w:r>
    </w:p>
    <w:p w14:paraId="667B4243">
      <w:pPr>
        <w:numPr>
          <w:ilvl w:val="0"/>
          <w:numId w:val="0"/>
        </w:numPr>
        <w:spacing w:line="560" w:lineRule="exact"/>
        <w:ind w:firstLine="640" w:firstLineChars="200"/>
        <w:rPr>
          <w:rFonts w:hint="default" w:cs="仿宋_GB2312"/>
          <w:highlight w:val="none"/>
          <w:lang w:val="en-US" w:eastAsia="zh-CN"/>
        </w:rPr>
      </w:pPr>
      <w:r>
        <w:rPr>
          <w:rFonts w:hint="default" w:cs="仿宋_GB2312"/>
          <w:highlight w:val="none"/>
          <w:lang w:val="en-US" w:eastAsia="zh-CN"/>
        </w:rPr>
        <w:t>推动绿色发展理念：本标准的实施有助于推动托幼机构树立绿色卫生管理理念，在保障儿童健康的同时，注重环境保护和资源节约。通过采用环保型消毒产品、优化消毒流程等方式，减少对环境的负面影响，为建设绿色校园、绿色社会做出贡献。</w:t>
      </w:r>
    </w:p>
    <w:p w14:paraId="288025F3">
      <w:pPr>
        <w:spacing w:line="560" w:lineRule="exact"/>
        <w:ind w:firstLine="640" w:firstLineChars="200"/>
        <w:rPr>
          <w:rFonts w:hint="eastAsia" w:cs="仿宋_GB2312"/>
          <w:highlight w:val="none"/>
        </w:rPr>
      </w:pPr>
      <w:r>
        <w:rPr>
          <w:rFonts w:hint="eastAsia" w:ascii="黑体" w:hAnsi="黑体" w:eastAsia="黑体" w:cs="黑体"/>
          <w:highlight w:val="none"/>
        </w:rPr>
        <w:t>四、与现行有关法律、法规和国家标准、行业标准、地方标准的关系</w:t>
      </w:r>
      <w:r>
        <w:rPr>
          <w:rFonts w:hint="eastAsia" w:cs="仿宋_GB2312"/>
          <w:highlight w:val="none"/>
        </w:rPr>
        <w:t>；</w:t>
      </w:r>
    </w:p>
    <w:p w14:paraId="48D2FD75">
      <w:pPr>
        <w:spacing w:line="560" w:lineRule="exact"/>
        <w:ind w:firstLine="640" w:firstLineChars="200"/>
        <w:rPr>
          <w:rFonts w:hint="eastAsia" w:cs="仿宋_GB2312"/>
          <w:highlight w:val="none"/>
        </w:rPr>
      </w:pPr>
      <w:r>
        <w:rPr>
          <w:rFonts w:hint="eastAsia" w:cs="仿宋_GB2312"/>
          <w:highlight w:val="none"/>
        </w:rPr>
        <w:t>目前，国家尚无托幼机构消毒卫生方面的国家标准，仅江苏、浙江、贵州、四川、武汉等9省市制定了地方标准，均从托幼机构的管理要求、卫生指标、常用消毒方法、采样及检验方法等方面制定了相应的标准。</w:t>
      </w:r>
    </w:p>
    <w:p w14:paraId="7DF21661">
      <w:pPr>
        <w:spacing w:line="560" w:lineRule="exact"/>
        <w:ind w:firstLine="640" w:firstLineChars="200"/>
        <w:rPr>
          <w:rFonts w:hint="eastAsia" w:cs="仿宋_GB2312"/>
          <w:highlight w:val="none"/>
        </w:rPr>
      </w:pPr>
      <w:r>
        <w:rPr>
          <w:rFonts w:hint="eastAsia" w:cs="仿宋_GB2312"/>
          <w:highlight w:val="none"/>
        </w:rPr>
        <w:t>依据《中华人民共和国传染病防治法》、《托儿所幼儿园卫生保健管理办法》、《疫源地消毒总则》（GB 19193）和消毒技术规范（2002年版）等法律、法规和标准编制了“重点场所消毒卫生规范—托幼机构”，结合我省多年来的监测数据和托幼机构的实际情况，将从预防性消毒和疫源地消毒两个方面入手，规范物体表面、手、室内空气、紫外线灯和使用中消毒液等消毒行为，规定细菌菌落总数、致病菌、辐照强度、有效成分浓度等限值，并推荐常见消毒对象的消毒方法以及常用消毒剂使用方法、采样及检验方法等。</w:t>
      </w:r>
    </w:p>
    <w:p w14:paraId="7B578D12">
      <w:pPr>
        <w:spacing w:line="560" w:lineRule="exact"/>
        <w:ind w:firstLine="640" w:firstLineChars="200"/>
        <w:rPr>
          <w:rFonts w:hint="eastAsia" w:eastAsia="仿宋_GB2312" w:cs="仿宋_GB2312"/>
          <w:highlight w:val="none"/>
          <w:lang w:val="en-US" w:eastAsia="zh-CN"/>
        </w:rPr>
      </w:pPr>
      <w:r>
        <w:rPr>
          <w:rFonts w:hint="eastAsia" w:cs="仿宋_GB2312"/>
          <w:highlight w:val="none"/>
        </w:rPr>
        <w:t>与其他地方标准相比，我省的“重点场所消毒卫生规范—托幼机构”指标将纳入致病菌指标，可以为我省各级疾控机构（监督机构）等部门针对托幼机构的监测和监督工作提供依据。总体上我省编制的“重点场所消毒卫生规范—托幼机构”与其他地方标准在保持协调性和一致性的前提下，兼顾了新技术和指标，具有一定的发展性。</w:t>
      </w:r>
    </w:p>
    <w:p w14:paraId="0635FEC4">
      <w:pPr>
        <w:numPr>
          <w:ilvl w:val="0"/>
          <w:numId w:val="0"/>
        </w:numPr>
        <w:spacing w:line="560" w:lineRule="exact"/>
        <w:ind w:firstLine="640" w:firstLineChars="200"/>
        <w:rPr>
          <w:rFonts w:hint="eastAsia" w:cs="仿宋_GB2312"/>
          <w:highlight w:val="none"/>
        </w:rPr>
      </w:pPr>
      <w:r>
        <w:rPr>
          <w:rFonts w:hint="eastAsia" w:ascii="黑体" w:hAnsi="黑体" w:eastAsia="黑体" w:cs="黑体"/>
          <w:highlight w:val="none"/>
          <w:lang w:val="en-US" w:eastAsia="zh-CN"/>
        </w:rPr>
        <w:t>五、</w:t>
      </w:r>
      <w:r>
        <w:rPr>
          <w:rFonts w:hint="eastAsia" w:ascii="黑体" w:hAnsi="黑体" w:eastAsia="黑体" w:cs="黑体"/>
          <w:highlight w:val="none"/>
        </w:rPr>
        <w:t>征求意见和分歧处理情况，应说明未采纳意见依据以及同意见提出人的沟通反馈情况</w:t>
      </w:r>
      <w:r>
        <w:rPr>
          <w:rFonts w:hint="eastAsia" w:cs="仿宋_GB2312"/>
          <w:highlight w:val="none"/>
        </w:rPr>
        <w:t>；</w:t>
      </w:r>
    </w:p>
    <w:p w14:paraId="57FD33E3">
      <w:pPr>
        <w:numPr>
          <w:ilvl w:val="0"/>
          <w:numId w:val="0"/>
        </w:numPr>
        <w:spacing w:line="560" w:lineRule="exact"/>
        <w:ind w:firstLine="640" w:firstLineChars="200"/>
        <w:rPr>
          <w:rFonts w:hint="eastAsia" w:cs="仿宋_GB2312"/>
          <w:highlight w:val="none"/>
        </w:rPr>
      </w:pPr>
      <w:r>
        <w:rPr>
          <w:rFonts w:hint="eastAsia" w:cs="仿宋_GB2312"/>
          <w:highlight w:val="none"/>
          <w:lang w:val="en-US" w:eastAsia="zh-CN"/>
        </w:rPr>
        <w:t>无</w:t>
      </w:r>
    </w:p>
    <w:p w14:paraId="5E014D60">
      <w:pPr>
        <w:numPr>
          <w:ilvl w:val="0"/>
          <w:numId w:val="0"/>
        </w:numPr>
        <w:spacing w:line="560" w:lineRule="exact"/>
        <w:ind w:firstLine="640" w:firstLineChars="200"/>
        <w:rPr>
          <w:rFonts w:hint="eastAsia" w:cs="仿宋_GB2312"/>
          <w:highlight w:val="none"/>
        </w:rPr>
      </w:pPr>
      <w:r>
        <w:rPr>
          <w:rFonts w:hint="eastAsia" w:ascii="黑体" w:hAnsi="黑体" w:eastAsia="黑体" w:cs="黑体"/>
          <w:highlight w:val="none"/>
          <w:lang w:val="en-US" w:eastAsia="zh-CN"/>
        </w:rPr>
        <w:t>六、</w:t>
      </w:r>
      <w:r>
        <w:rPr>
          <w:rFonts w:hint="eastAsia" w:ascii="黑体" w:hAnsi="黑体" w:eastAsia="黑体" w:cs="黑体"/>
          <w:highlight w:val="none"/>
        </w:rPr>
        <w:t>推动标准实施的措施建议</w:t>
      </w:r>
      <w:r>
        <w:rPr>
          <w:rFonts w:hint="eastAsia" w:cs="仿宋_GB2312"/>
          <w:highlight w:val="none"/>
        </w:rPr>
        <w:t>；</w:t>
      </w:r>
    </w:p>
    <w:p w14:paraId="3FECFEEC">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为确保本标准在辽宁省辖区内各级、各类托幼机构得到有效实施，切实保障儿童健康安全，提升托幼机构卫生管理水平，提出以下措施建议：</w:t>
      </w:r>
    </w:p>
    <w:p w14:paraId="39ECFA1E">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（一）加强宣传培训</w:t>
      </w:r>
    </w:p>
    <w:p w14:paraId="74FDF6B6">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1. 组织专题培训：各级疾病预防控制中心联合开展，针对标准内容，分批次、分层次组织托幼机构管理人员、卫生保健人员及消毒员开展专题培训。</w:t>
      </w:r>
    </w:p>
    <w:p w14:paraId="5D417049">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2. 开展线上宣传：利用疾控中心官网、微信公众号、短视频平台等新媒体渠道和传统媒体等，制作并发布标准解读视频、图文解读资料、常见问题解答等宣传内容，扩大标准知晓度。</w:t>
      </w:r>
    </w:p>
    <w:p w14:paraId="5419E5A7">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3. 印发宣传资料：编制标准宣传手册、海报、折页等纸质宣传资料，免费发放给托幼机构，方便工作人员随时查阅学习，营造良好的标准实施氛围。</w:t>
      </w:r>
    </w:p>
    <w:p w14:paraId="1CC540CB">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（二）强化技术指导</w:t>
      </w:r>
    </w:p>
    <w:p w14:paraId="36A38BCF">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1. 建立专家团队：组建由消毒专家、疾控专业人员、卫生监督人员组成的专家团队，为托幼机构提供专业的技术指导服务。定期深入托幼机构，实地查看卫生管理现状，针对发现的问题，提出针对性的整改建议。</w:t>
      </w:r>
    </w:p>
    <w:p w14:paraId="5937976A">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2. 开展现场示范：选取部分托幼机构作为示范点，组织专业技术人员进行现场示范教学。通过实地演示消毒操作流程、采样方法等，提升操作规范性。同时，鼓励示范点与其他机构开展交流活动，分享经验做法，带动整体水平提升。</w:t>
      </w:r>
    </w:p>
    <w:p w14:paraId="2B1A6505">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3. 技术支持服务：建立标准实施技术支持平台，为托幼机构提供在线技术咨询、检测方法指导、数据解读等服务。平台应整合相关标准、法规、技术资料，方便托幼机构查询使用，确保在遇到技术难题时能够及时获得专业帮助。</w:t>
      </w:r>
    </w:p>
    <w:p w14:paraId="6CCCA67B">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（三）严格监督执法</w:t>
      </w:r>
    </w:p>
    <w:p w14:paraId="336D9A9A">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1. 制定监督计划：各级卫生监督部门应依据本标准，制定详细的托幼机构卫生监督计划，明确监督内容、频次、重点环节等。将标准执行情况纳入日常监督必查项目，确保监督工作常态化、制度化。</w:t>
      </w:r>
    </w:p>
    <w:p w14:paraId="137D73A7">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2. 加大执法力度：在监督过程中，对未按标准要求开展卫生管理工作的托幼机构，依法依规进行严肃处理。对存在严重卫生隐患、整改不力的机构，予以公开曝光，并追究相关责任人责任，形成有力震慑，促使托幼机构自觉遵守标准规定。</w:t>
      </w:r>
    </w:p>
    <w:p w14:paraId="767DA5F7">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3. 强化结果运用：建立监督执法结果与托幼机构评优评先、资质审核等挂钩机制。将标准执行情况作为重要考核指标，对卫生管理规范、标准执行到位的托幼机构，在评优评先、政策扶持等方面给予优先考虑；对存在问题较多的机构，限制其参与相关评选活动，督促其加强卫生管理，切实推动标准落实。</w:t>
      </w:r>
    </w:p>
    <w:p w14:paraId="4AB9A5B8">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（四）</w:t>
      </w:r>
      <w:r>
        <w:rPr>
          <w:rFonts w:hint="eastAsia" w:cs="仿宋_GB2312"/>
          <w:highlight w:val="none"/>
          <w:lang w:val="en-US" w:eastAsia="zh-CN"/>
        </w:rPr>
        <w:t>完善保障机制</w:t>
      </w:r>
    </w:p>
    <w:p w14:paraId="25623263">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建立协调机制：由辽宁省疾病预防控制局牵头，建立多部门协调联动机制，加强与教育、市场监管等部门的沟通协作。定期召开联席会议，通报标准实施情况，共同研究解决标准实施过程中遇到的跨部门问题，形成工作合力，为标准实施提供有力保障。</w:t>
      </w:r>
    </w:p>
    <w:p w14:paraId="04008C9A">
      <w:pPr>
        <w:numPr>
          <w:ilvl w:val="0"/>
          <w:numId w:val="0"/>
        </w:numPr>
        <w:spacing w:line="560" w:lineRule="exact"/>
        <w:ind w:firstLine="640" w:firstLineChars="200"/>
        <w:rPr>
          <w:rFonts w:hint="eastAsia" w:cs="仿宋_GB2312"/>
          <w:highlight w:val="none"/>
          <w:lang w:val="en-US" w:eastAsia="zh-CN"/>
        </w:rPr>
      </w:pPr>
      <w:r>
        <w:rPr>
          <w:rFonts w:hint="eastAsia" w:cs="仿宋_GB2312"/>
          <w:highlight w:val="none"/>
          <w:lang w:val="en-US" w:eastAsia="zh-CN"/>
        </w:rPr>
        <w:t>落实经费保障：各级政府应将托幼机构卫生标准实施工作经费纳入财政预算，设立专项经费，用于宣传培训、技术指导、监督执法等工作开展。同时，鼓励托幼机构加大自身卫生投入，购置必要的消毒设备、检测仪器和个人防护用品，确保标准实施有充足的资金支持。</w:t>
      </w:r>
    </w:p>
    <w:p w14:paraId="52C0058B">
      <w:pPr>
        <w:numPr>
          <w:ilvl w:val="0"/>
          <w:numId w:val="0"/>
        </w:numPr>
        <w:spacing w:line="560" w:lineRule="exact"/>
        <w:ind w:firstLine="640" w:firstLineChars="200"/>
        <w:rPr>
          <w:rFonts w:hint="eastAsia" w:eastAsia="仿宋_GB2312" w:cs="仿宋_GB2312"/>
          <w:highlight w:val="none"/>
          <w:lang w:val="en-US" w:eastAsia="zh-CN"/>
        </w:rPr>
      </w:pPr>
      <w:r>
        <w:rPr>
          <w:rFonts w:hint="eastAsia" w:cs="仿宋_GB2312"/>
          <w:highlight w:val="none"/>
          <w:lang w:val="en-US" w:eastAsia="zh-CN"/>
        </w:rPr>
        <w:t>加强信息反馈：建立标准实施信息反馈渠道，鼓励托幼机构、家长、社会公众积极参与标准实施监督。对反馈的问题和建议，相关部门应及时进行调查核实，并将处理结果反馈给反馈人，形成良好的社会监督氛围，及时发现并解决标准实施过程中出现的新情</w:t>
      </w:r>
      <w:bookmarkStart w:id="0" w:name="_GoBack"/>
      <w:bookmarkEnd w:id="0"/>
      <w:r>
        <w:rPr>
          <w:rFonts w:hint="eastAsia" w:cs="仿宋_GB2312"/>
          <w:highlight w:val="none"/>
          <w:lang w:val="en-US" w:eastAsia="zh-CN"/>
        </w:rPr>
        <w:t>况、新问题，持续优化标准执行效果。</w:t>
      </w:r>
    </w:p>
    <w:p w14:paraId="44803286">
      <w:pPr>
        <w:spacing w:line="560" w:lineRule="exact"/>
        <w:ind w:firstLine="640" w:firstLineChars="200"/>
        <w:rPr>
          <w:rFonts w:hint="eastAsia" w:cs="仿宋_GB2312"/>
          <w:strike w:val="0"/>
          <w:dstrike w:val="0"/>
          <w:highlight w:val="none"/>
        </w:rPr>
      </w:pPr>
      <w:r>
        <w:rPr>
          <w:rFonts w:hint="eastAsia" w:ascii="黑体" w:hAnsi="黑体" w:eastAsia="黑体" w:cs="黑体"/>
          <w:highlight w:val="none"/>
        </w:rPr>
        <w:t>七、拟作为强制性地方标准的须写明明确的法律法规依据</w:t>
      </w:r>
      <w:r>
        <w:rPr>
          <w:rFonts w:hint="eastAsia" w:cs="仿宋_GB2312"/>
          <w:strike w:val="0"/>
          <w:dstrike w:val="0"/>
          <w:highlight w:val="none"/>
        </w:rPr>
        <w:t>；</w:t>
      </w:r>
    </w:p>
    <w:p w14:paraId="4627F8A6">
      <w:pPr>
        <w:spacing w:line="560" w:lineRule="exact"/>
        <w:ind w:firstLine="64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无</w:t>
      </w:r>
    </w:p>
    <w:p w14:paraId="38F55CB2">
      <w:pPr>
        <w:spacing w:line="560" w:lineRule="exact"/>
        <w:ind w:firstLine="640" w:firstLineChars="200"/>
        <w:rPr>
          <w:rFonts w:hint="eastAsia" w:cs="仿宋_GB2312"/>
          <w:highlight w:val="none"/>
        </w:rPr>
      </w:pPr>
      <w:r>
        <w:rPr>
          <w:rFonts w:hint="eastAsia" w:ascii="黑体" w:hAnsi="黑体" w:eastAsia="黑体" w:cs="黑体"/>
          <w:highlight w:val="none"/>
        </w:rPr>
        <w:t>八、其他应说明的事项</w:t>
      </w:r>
      <w:r>
        <w:rPr>
          <w:rFonts w:hint="eastAsia" w:cs="仿宋_GB2312"/>
          <w:highlight w:val="none"/>
        </w:rPr>
        <w:t>。</w:t>
      </w:r>
    </w:p>
    <w:p w14:paraId="1C520C9F">
      <w:pPr>
        <w:spacing w:line="560" w:lineRule="exact"/>
        <w:ind w:firstLine="640" w:firstLineChars="200"/>
        <w:rPr>
          <w:rFonts w:hint="eastAsia" w:eastAsia="仿宋_GB2312" w:cs="仿宋_GB2312"/>
          <w:highlight w:val="none"/>
          <w:lang w:val="en-US" w:eastAsia="zh-CN"/>
        </w:rPr>
      </w:pPr>
      <w:r>
        <w:rPr>
          <w:rFonts w:hint="eastAsia" w:cs="仿宋_GB2312"/>
          <w:highlight w:val="none"/>
          <w:lang w:val="en-US" w:eastAsia="zh-CN"/>
        </w:rPr>
        <w:t>无</w:t>
      </w:r>
    </w:p>
    <w:p w14:paraId="6833DB5A">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5F28C9-1456-4EC2-94AC-D04E474078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294330F-3D32-41EB-A5AF-CD0DB2BCF7D7}"/>
  </w:font>
  <w:font w:name="仿宋_GB2312">
    <w:panose1 w:val="02010609030101010101"/>
    <w:charset w:val="86"/>
    <w:family w:val="modern"/>
    <w:pitch w:val="default"/>
    <w:sig w:usb0="00000001" w:usb1="080E0000" w:usb2="00000000" w:usb3="00000000" w:csb0="00040000" w:csb1="00000000"/>
    <w:embedRegular r:id="rId3" w:fontKey="{29D6371A-9A73-4865-BB47-D1A8A8419D02}"/>
  </w:font>
  <w:font w:name="方正小标宋简体">
    <w:panose1 w:val="02010600010101010101"/>
    <w:charset w:val="86"/>
    <w:family w:val="script"/>
    <w:pitch w:val="default"/>
    <w:sig w:usb0="00000001" w:usb1="080E0000" w:usb2="00000000" w:usb3="00000000" w:csb0="00040000" w:csb1="00000000"/>
    <w:embedRegular r:id="rId4" w:fontKey="{6FBDC7DB-FCFE-4AC4-A001-473374F1296A}"/>
  </w:font>
  <w:font w:name="仿宋">
    <w:panose1 w:val="02010609060101010101"/>
    <w:charset w:val="86"/>
    <w:family w:val="auto"/>
    <w:pitch w:val="default"/>
    <w:sig w:usb0="800002BF" w:usb1="38CF7CFA" w:usb2="00000016" w:usb3="00000000" w:csb0="00040001" w:csb1="00000000"/>
    <w:embedRegular r:id="rId5" w:fontKey="{C8A7813A-4B77-4729-BE2C-0112846FD55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7B2D8E"/>
    <w:multiLevelType w:val="singleLevel"/>
    <w:tmpl w:val="F07B2D8E"/>
    <w:lvl w:ilvl="0" w:tentative="0">
      <w:start w:val="2"/>
      <w:numFmt w:val="chineseCounting"/>
      <w:suff w:val="nothing"/>
      <w:lvlText w:val="（%1）"/>
      <w:lvlJc w:val="left"/>
      <w:rPr>
        <w:rFonts w:hint="eastAsia"/>
      </w:rPr>
    </w:lvl>
  </w:abstractNum>
  <w:abstractNum w:abstractNumId="1">
    <w:nsid w:val="55A0CDD8"/>
    <w:multiLevelType w:val="singleLevel"/>
    <w:tmpl w:val="55A0CDD8"/>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71F"/>
    <w:rsid w:val="00177EFA"/>
    <w:rsid w:val="002B7A1C"/>
    <w:rsid w:val="0057566B"/>
    <w:rsid w:val="00595F5B"/>
    <w:rsid w:val="00A2071F"/>
    <w:rsid w:val="00C067DB"/>
    <w:rsid w:val="00C569EB"/>
    <w:rsid w:val="00C86D4F"/>
    <w:rsid w:val="01183702"/>
    <w:rsid w:val="1FC79106"/>
    <w:rsid w:val="311703D5"/>
    <w:rsid w:val="3BB0009F"/>
    <w:rsid w:val="415E1BCB"/>
    <w:rsid w:val="437B6846"/>
    <w:rsid w:val="4ACF164E"/>
    <w:rsid w:val="6E655582"/>
    <w:rsid w:val="74F02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6875</Words>
  <Characters>6984</Characters>
  <Lines>2</Lines>
  <Paragraphs>1</Paragraphs>
  <TotalTime>233</TotalTime>
  <ScaleCrop>false</ScaleCrop>
  <LinksUpToDate>false</LinksUpToDate>
  <CharactersWithSpaces>7010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2021-05-10T09:24:00Z</dcterms:created>
  <dc:creator>Windows 用户</dc:creator>
  <cp:lastModifiedBy>王俊龙</cp:lastModifiedBy>
  <dcterms:modified xsi:type="dcterms:W3CDTF">2026-02-28T01:11:17Z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eyJoZGlkIjoiNzIyZWJhN2UxZWI5NTViOTg1YTMyODQwNTIxYWZhMzEiLCJ1c2VySWQiOiIzNDMzODk5MzQifQ==</vt:lpwstr>
  </property>
  <property fmtid="{D5CDD505-2E9C-101B-9397-08002B2CF9AE}" pid="3" name="KSOProductBuildVer">
    <vt:lpwstr>2052-12.1.0.24034</vt:lpwstr>
  </property>
  <property fmtid="{D5CDD505-2E9C-101B-9397-08002B2CF9AE}" pid="4" name="ICV">
    <vt:lpwstr>9284CD8639F947C2AE3882CCE42D120E_13</vt:lpwstr>
  </property>
</Properties>
</file>