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ascii="CESI仿宋-GB2312" w:hAnsi="CESI仿宋-GB2312" w:eastAsia="CESI仿宋-GB2312" w:cs="CESI仿宋-GB2312"/>
          <w:spacing w:val="2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pacing w:val="20"/>
          <w:sz w:val="32"/>
          <w:szCs w:val="32"/>
        </w:rPr>
        <w:t>附件</w:t>
      </w:r>
      <w:r>
        <w:rPr>
          <w:rFonts w:hint="eastAsia" w:ascii="CESI仿宋-GB2312" w:hAnsi="CESI仿宋-GB2312" w:eastAsia="CESI仿宋-GB2312" w:cs="CESI仿宋-GB2312"/>
          <w:spacing w:val="20"/>
          <w:sz w:val="32"/>
          <w:szCs w:val="32"/>
          <w:lang w:val="en-US" w:eastAsia="zh-CN"/>
        </w:rPr>
        <w:t>2</w:t>
      </w:r>
    </w:p>
    <w:p>
      <w:pPr>
        <w:spacing w:after="156" w:afterLines="50"/>
        <w:jc w:val="center"/>
        <w:rPr>
          <w:rFonts w:cs="仿宋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cs="仿宋" w:asciiTheme="majorEastAsia" w:hAnsiTheme="majorEastAsia" w:eastAsiaTheme="majorEastAsia"/>
          <w:b/>
          <w:bCs/>
          <w:sz w:val="44"/>
          <w:szCs w:val="44"/>
          <w:lang w:eastAsia="zh-CN"/>
        </w:rPr>
        <w:t>辽宁省</w:t>
      </w:r>
      <w:r>
        <w:rPr>
          <w:rFonts w:hint="eastAsia" w:cs="仿宋" w:asciiTheme="majorEastAsia" w:hAnsiTheme="majorEastAsia" w:eastAsiaTheme="majorEastAsia"/>
          <w:b/>
          <w:bCs/>
          <w:sz w:val="44"/>
          <w:szCs w:val="44"/>
        </w:rPr>
        <w:t>继续医学教育项目评估指标</w:t>
      </w:r>
    </w:p>
    <w:p>
      <w:pPr>
        <w:pStyle w:val="11"/>
        <w:spacing w:after="468" w:afterLines="150"/>
        <w:ind w:left="10496" w:leftChars="-202" w:right="-458" w:rightChars="-218" w:hanging="10920" w:hangingChars="3900"/>
        <w:jc w:val="left"/>
        <w:rPr>
          <w:rFonts w:ascii="仿宋_GB2312" w:hAnsi="宋体" w:cs="仿宋_GB2312"/>
          <w:sz w:val="28"/>
          <w:szCs w:val="28"/>
        </w:rPr>
      </w:pPr>
      <w:r>
        <w:rPr>
          <w:rFonts w:hint="eastAsia" w:ascii="仿宋_GB2312" w:hAnsi="宋体" w:cs="仿宋_GB2312"/>
          <w:sz w:val="28"/>
          <w:szCs w:val="28"/>
        </w:rPr>
        <w:t xml:space="preserve">                                         （</w:t>
      </w:r>
      <w:r>
        <w:rPr>
          <w:rFonts w:ascii="仿宋_GB2312" w:hAnsi="宋体" w:cs="仿宋_GB2312"/>
          <w:sz w:val="28"/>
          <w:szCs w:val="28"/>
        </w:rPr>
        <w:t>202</w:t>
      </w:r>
      <w:r>
        <w:rPr>
          <w:rFonts w:hint="eastAsia" w:ascii="仿宋_GB2312" w:hAnsi="宋体" w:cs="仿宋_GB2312"/>
          <w:sz w:val="28"/>
          <w:szCs w:val="28"/>
          <w:lang w:val="en-US" w:eastAsia="zh-CN"/>
        </w:rPr>
        <w:t>3</w:t>
      </w:r>
      <w:r>
        <w:rPr>
          <w:rFonts w:ascii="仿宋_GB2312" w:hAnsi="宋体" w:cs="仿宋_GB2312"/>
          <w:sz w:val="28"/>
          <w:szCs w:val="28"/>
        </w:rPr>
        <w:t>年</w:t>
      </w:r>
      <w:r>
        <w:rPr>
          <w:rFonts w:hint="eastAsia" w:ascii="仿宋_GB2312" w:hAnsi="宋体" w:cs="仿宋_GB2312"/>
          <w:sz w:val="28"/>
          <w:szCs w:val="28"/>
        </w:rPr>
        <w:t>版）</w:t>
      </w:r>
      <w:r>
        <w:rPr>
          <w:rFonts w:hint="eastAsia" w:ascii="仿宋_GB2312" w:hAnsi="宋体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 xml:space="preserve">               </w:t>
      </w:r>
      <w:r>
        <w:rPr>
          <w:rFonts w:hint="eastAsia" w:ascii="宋体" w:hAnsi="宋体"/>
          <w:b/>
          <w:spacing w:val="20"/>
          <w:szCs w:val="30"/>
        </w:rPr>
        <w:t>得分：    /100                                                                                加分：</w:t>
      </w:r>
      <w:r>
        <w:rPr>
          <w:rFonts w:ascii="宋体" w:hAnsi="宋体"/>
          <w:b/>
          <w:spacing w:val="20"/>
          <w:szCs w:val="30"/>
        </w:rPr>
        <w:t xml:space="preserve">    /1</w:t>
      </w:r>
      <w:r>
        <w:rPr>
          <w:rFonts w:hint="eastAsia" w:ascii="宋体" w:hAnsi="宋体"/>
          <w:b/>
          <w:spacing w:val="20"/>
          <w:szCs w:val="30"/>
        </w:rPr>
        <w:t>0</w:t>
      </w:r>
    </w:p>
    <w:p>
      <w:pPr>
        <w:pStyle w:val="11"/>
        <w:ind w:firstLineChars="150"/>
        <w:rPr>
          <w:rFonts w:ascii="仿宋_GB2312" w:hAnsi="宋体" w:cs="仿宋_GB2312"/>
          <w:sz w:val="28"/>
          <w:szCs w:val="28"/>
          <w:u w:val="single"/>
        </w:rPr>
      </w:pPr>
      <w:r>
        <w:rPr>
          <w:rFonts w:hint="eastAsia" w:ascii="仿宋_GB2312" w:hAnsi="宋体" w:cs="仿宋_GB2312"/>
          <w:sz w:val="28"/>
          <w:szCs w:val="28"/>
        </w:rPr>
        <w:t>项目名称：</w:t>
      </w:r>
      <w:r>
        <w:rPr>
          <w:rFonts w:hint="eastAsia" w:ascii="仿宋_GB2312" w:hAnsi="宋体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宋体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宋体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宋体" w:cs="仿宋_GB2312"/>
          <w:sz w:val="28"/>
          <w:szCs w:val="28"/>
        </w:rPr>
        <w:t>项目负责人：</w:t>
      </w:r>
      <w:r>
        <w:rPr>
          <w:rFonts w:hint="eastAsia" w:ascii="仿宋_GB2312" w:hAnsi="宋体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cs="仿宋_GB2312"/>
          <w:sz w:val="28"/>
          <w:szCs w:val="28"/>
        </w:rPr>
        <w:t>项目单位：</w:t>
      </w:r>
      <w:r>
        <w:rPr>
          <w:rFonts w:hint="eastAsia" w:ascii="仿宋_GB2312" w:hAnsi="宋体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宋体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宋体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宋体" w:cs="仿宋_GB2312"/>
          <w:sz w:val="28"/>
          <w:szCs w:val="28"/>
        </w:rPr>
        <w:t>联系人及电话：</w:t>
      </w:r>
      <w:r>
        <w:rPr>
          <w:rFonts w:hint="eastAsia" w:ascii="仿宋_GB2312" w:hAnsi="宋体" w:cs="仿宋_GB2312"/>
          <w:sz w:val="28"/>
          <w:szCs w:val="28"/>
          <w:u w:val="single"/>
        </w:rPr>
        <w:t xml:space="preserve">                      </w:t>
      </w:r>
    </w:p>
    <w:tbl>
      <w:tblPr>
        <w:tblStyle w:val="5"/>
        <w:tblW w:w="158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3"/>
        <w:gridCol w:w="2950"/>
        <w:gridCol w:w="3470"/>
        <w:gridCol w:w="4961"/>
        <w:gridCol w:w="713"/>
        <w:gridCol w:w="7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tblHeader/>
          <w:jc w:val="center"/>
        </w:trPr>
        <w:tc>
          <w:tcPr>
            <w:tcW w:w="18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一级指标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3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二级指标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3"/>
              <w:jc w:val="center"/>
              <w:rPr>
                <w:rFonts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主要内容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3"/>
              <w:jc w:val="center"/>
              <w:rPr>
                <w:rFonts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3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分值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3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得分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-3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1.项目申报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lang w:val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分）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2" w:leftChars="-1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1.1 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项目负责人应具备副高级及以上职称，申报项目的专业应与负责人专业一致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提供项目负责人取得相关专业的副高级以上职称证书，与申报项目专业或研究方向一致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副高及以上职称</w:t>
            </w: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,专业方向一致得5分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中级职称及以下</w:t>
            </w: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,扣3分</w:t>
            </w:r>
          </w:p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专业方向不一致</w:t>
            </w: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,扣2分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kern w:val="0"/>
                <w:sz w:val="24"/>
                <w:szCs w:val="24"/>
                <w:highlight w:val="yellow"/>
                <w:lang w:val="zh-CN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项目负责人应在职在岗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提供项目负责人在职在岗相关证明材料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在职并在相关专业岗位得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5分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在职但不在相关专业岗位扣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2分</w:t>
            </w: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不在职不在岗扣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1.3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填报的项目申报表相关信息的真实性、准确性和完整性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提供项目负责人及授课教师知情同意的相关说明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项目负责人和所有授课老师知情同意得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不能提供知情同意相关证明的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,按一名授课教师扣1分,最多扣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2.项目实施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  (40分)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2.1项目负责人参加授课情况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项目负责人必须参与授课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,提供项目举办的原始通知及日程等相关材料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项目负责人参与授课得5分</w:t>
            </w:r>
          </w:p>
          <w:p>
            <w:pPr>
              <w:widowControl/>
              <w:numPr>
                <w:ilvl w:val="0"/>
                <w:numId w:val="4"/>
              </w:numPr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项目负责人没有参与授课扣5分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8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2.2主要授课人实际授课情况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项目申报的授课人与项目实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际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授课人变动不应过大，提供项目申报书与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项目举办的原始通知及日程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等相关材料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实际授课人变动在三分之一以下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,得10分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="0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实际授课人变动在二分之一以下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,扣5分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="0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实际授课人变动在二分之一以上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,扣8分</w:t>
            </w:r>
          </w:p>
          <w:p>
            <w:pPr>
              <w:widowControl/>
              <w:numPr>
                <w:ilvl w:val="0"/>
                <w:numId w:val="5"/>
              </w:numPr>
              <w:adjustRightInd w:val="0"/>
              <w:snapToGrid w:val="0"/>
              <w:spacing w:line="276" w:lineRule="auto"/>
              <w:ind w:left="0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实际授课人全部变动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,扣10分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3实际授课主要内容与项目申报授课内容符合情况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提供项目申报书与实际授课内容情况表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项目举办的原始通知及日程表等相关材料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实际授课内容变动在三分之一以下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,得10分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left="0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实际授课内容变动在二分之一以下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,扣5分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left="0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实际授课内容变动在二分之一以上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,扣8分</w:t>
            </w:r>
          </w:p>
          <w:p>
            <w:pPr>
              <w:widowControl/>
              <w:numPr>
                <w:ilvl w:val="0"/>
                <w:numId w:val="6"/>
              </w:numPr>
              <w:adjustRightInd w:val="0"/>
              <w:snapToGrid w:val="0"/>
              <w:spacing w:line="276" w:lineRule="auto"/>
              <w:ind w:left="0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实际授课内容全部变动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,扣10分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4实际授予学分是否符合要求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提供授课内容时长与学分授予一致性符合条件的证明材料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实际授课内容时长与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项目应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授予学分完全一致得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10分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实际授课内容时长与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项目应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授予学分三分之一以内不符合者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,扣5分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实际授课内容时长与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项目应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授予学分二分之一以内不符合者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,扣8分</w:t>
            </w:r>
          </w:p>
          <w:p>
            <w:pPr>
              <w:widowControl/>
              <w:numPr>
                <w:ilvl w:val="0"/>
                <w:numId w:val="7"/>
              </w:numPr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实际授课内容时长与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项目应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授予学分完全不符合者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,扣10分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5申报项目单位应与实际举办项目单位一致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提供项目举办的原始通知等相关材料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符合要求得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5分</w:t>
            </w:r>
          </w:p>
          <w:p>
            <w:pPr>
              <w:widowControl/>
              <w:numPr>
                <w:ilvl w:val="0"/>
                <w:numId w:val="8"/>
              </w:numPr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不符合要求扣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3.项目管理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lang w:val="zh-CN"/>
              </w:rPr>
              <w:t>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lang w:val="en-US" w:eastAsia="zh-CN"/>
              </w:rPr>
              <w:t>30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</w:rPr>
              <w:t>分）</w:t>
            </w: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ind w:firstLine="210" w:firstLineChars="100"/>
              <w:rPr>
                <w:rFonts w:ascii="仿宋_GB2312" w:hAnsi="仿宋" w:eastAsia="仿宋_GB2312" w:cs="仿宋_GB2312"/>
                <w:color w:val="000000"/>
                <w:kern w:val="0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.1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项目举办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7天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前在省继续医学教育管理平台进行线上报备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提供项目举办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7天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前将项目编号、项目名称、办班通知、日程等相关资料报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省继续医学教育管理平台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1.按时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在省继续医学教育管理平台进行线上报备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得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2.未及时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在省继续医学教育管理平台进行线上报备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扣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tabs>
                <w:tab w:val="left" w:pos="312"/>
              </w:tabs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3.未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在省继续医学教育管理平台进行线上报备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扣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hint="default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9" w:hRule="atLeast"/>
          <w:jc w:val="center"/>
        </w:trPr>
        <w:tc>
          <w:tcPr>
            <w:tcW w:w="181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485" w:hanging="484" w:hangingChars="202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.2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项目举办结束后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1个月内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通过省继续医学教育管理平台报送项目执行情况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highlight w:val="yellow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提供项目结束后在系统中填写省级继续医学教育项目执行情况，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包括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总结汇报表、项目活动日程表、考试试题、学员通讯录等相关材料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1.按时在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省继续医学教育管理平台填写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执行情况所有项目得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2.未及时在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省继续医学教育管理平台填写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执行情况所有项目扣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3.未在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省继续医学教育管理平台填写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执行情况所有项目扣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hint="default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3.3学员反馈与评价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参照省继续医学教育管理平台学员反馈与评价结果的相关材料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,主要评价指标：1.项目内容是学科最新发展、最新成果或亟待解决的问题;2.对授课教师讲授内容满意度；3.对教学计划安排满意度；4.对所用教材的满意度；5.通过项目学习是否开阔思路、提高理论水平和/或提高临床诊疗水平。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1.评价综合指标均优良，相关指标满意度均大于90%得10分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评价综合指标较好，相关指标满意度在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80%-90%扣3分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评价综合指标一般，相关指标满意度在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70%-80%扣5分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评价综合指标差，相关指标满意度在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60%-70%扣7分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4.经费管理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（5分）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both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坚持继续医学教育公益性质，不以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营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利为目的，经费主要来源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提供举办项目费用来源，包括免费、收费、资助、财政拨款等，提供费用管理等相关材料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1.费用收取合理和/或费用支出合规、费用管理规范得5分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收费合理但/或费用支出不够合规及费用管理不够规范扣2分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收费不合理和/或费用支出不合规及费用管理不规范扣5分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.学员覆盖率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 xml:space="preserve"> （10分）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参加项目的学员覆盖省份情况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提供参加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项目的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学员名单，需包括单位、职称等材料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有省外学员得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2.省外学员超过30%以上加7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3.省外学员在20%-30%加5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4.省外学员在10%-20%加3分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5.省外学员在5%-10%加1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6.省外学员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1%-5%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不加分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减、免招收西部省份学员、基层学员情况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（加分项，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10分）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对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基层的学员参加项目减免相关费用的情况</w:t>
            </w:r>
          </w:p>
        </w:tc>
        <w:tc>
          <w:tcPr>
            <w:tcW w:w="347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提供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基层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参加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项目的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学员名单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及减免相关费用的规定等。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1.有基层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学员参加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项目的减免相关费用的规定，得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2.基层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学员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超过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30%以上加7分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3.基层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学员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20%-30%加5分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4.基层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学员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10%-20%加3分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5.基层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zh-CN"/>
              </w:rPr>
              <w:t>学员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1%-10%加1分</w:t>
            </w: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13" w:type="dxa"/>
            <w:vAlign w:val="center"/>
          </w:tcPr>
          <w:p>
            <w:pPr>
              <w:widowControl/>
              <w:numPr>
                <w:ilvl w:val="-1"/>
                <w:numId w:val="0"/>
              </w:numPr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违规清单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（减分项，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10分）</w:t>
            </w:r>
          </w:p>
        </w:tc>
        <w:tc>
          <w:tcPr>
            <w:tcW w:w="2950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项目严重弄虚作假等违规情况</w:t>
            </w:r>
          </w:p>
        </w:tc>
        <w:tc>
          <w:tcPr>
            <w:tcW w:w="3470" w:type="dxa"/>
            <w:vAlign w:val="center"/>
          </w:tcPr>
          <w:p>
            <w:pP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发现严重弄虚作假等违规情况。包括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.出现意识形态相关问题、到国家明令禁止举办会议的风景名胜区举办项目、组织与项目无关的参观、考察等活动，组织学员旅游观光；2.随意更改项目编号、名称、内容、举办时间、举办地等项目相关信息；授课教师、内容和课程总学时等变动范围超过三分之一以上，且新更换的授课教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职称低于原授课教师，所授学分数没有按照实际课程学时相应核减。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numPr>
                <w:ilvl w:val="0"/>
                <w:numId w:val="9"/>
              </w:numPr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出现意识形态相关问题、到国家明令禁止举办会议的风景名胜区举办项目、组织与项目无关的参观、考察等活动，组织学员旅游观光的任何一种行为的项目扣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10分。并根据情况，取消或停办该项目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级继续医学教育项目的资格</w:t>
            </w:r>
          </w:p>
          <w:p>
            <w:pP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2.随意更改项目编号、名称、内容、举办时间、举办地等项目相关信息；授课教师、内容和课程总学时等变动范围超过二分之一以上，且新更换的授课教师</w:t>
            </w:r>
            <w:r>
              <w:rPr>
                <w:rFonts w:hint="eastAsia"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职称低于原授课教师，所授学分数没有按照实际课程学时相应核减等情况的严重程度可扣</w:t>
            </w: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10分、8分、6分、4分。</w:t>
            </w:r>
          </w:p>
          <w:p>
            <w:pPr>
              <w:widowControl/>
              <w:adjustRightInd w:val="0"/>
              <w:snapToGrid w:val="0"/>
              <w:spacing w:line="276" w:lineRule="auto"/>
              <w:ind w:left="-8"/>
              <w:jc w:val="left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center"/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7" w:type="dxa"/>
          </w:tcPr>
          <w:p>
            <w:pPr>
              <w:widowControl/>
              <w:adjustRightInd w:val="0"/>
              <w:snapToGrid w:val="0"/>
              <w:spacing w:line="276" w:lineRule="auto"/>
              <w:ind w:left="-4" w:hanging="4"/>
              <w:jc w:val="left"/>
              <w:rPr>
                <w:rFonts w:ascii="仿宋_GB2312" w:hAnsi="仿宋" w:eastAsia="仿宋_GB2312" w:cs="Times New Roman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</w:tbl>
    <w:p>
      <w:pPr>
        <w:spacing w:after="156" w:afterLines="50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备注：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辽宁省</w:t>
      </w:r>
      <w:r>
        <w:rPr>
          <w:rFonts w:hint="eastAsia" w:ascii="仿宋" w:hAnsi="仿宋" w:eastAsia="仿宋" w:cs="Times New Roman"/>
          <w:sz w:val="30"/>
          <w:szCs w:val="30"/>
        </w:rPr>
        <w:t>继续医学教育项目评估指标（</w:t>
      </w:r>
      <w:r>
        <w:rPr>
          <w:rFonts w:ascii="仿宋" w:hAnsi="仿宋" w:eastAsia="仿宋" w:cs="Times New Roman"/>
          <w:sz w:val="30"/>
          <w:szCs w:val="30"/>
        </w:rPr>
        <w:t>202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Times New Roman"/>
          <w:sz w:val="30"/>
          <w:szCs w:val="30"/>
        </w:rPr>
        <w:t>年版）总分</w:t>
      </w:r>
      <w:r>
        <w:rPr>
          <w:rFonts w:ascii="仿宋" w:hAnsi="仿宋" w:eastAsia="仿宋" w:cs="Times New Roman"/>
          <w:sz w:val="30"/>
          <w:szCs w:val="30"/>
        </w:rPr>
        <w:t>100</w:t>
      </w:r>
      <w:r>
        <w:rPr>
          <w:rFonts w:hint="eastAsia" w:ascii="仿宋" w:hAnsi="仿宋" w:eastAsia="仿宋" w:cs="Times New Roman"/>
          <w:sz w:val="30"/>
          <w:szCs w:val="30"/>
        </w:rPr>
        <w:t>分，加分项</w:t>
      </w:r>
      <w:r>
        <w:rPr>
          <w:rFonts w:ascii="仿宋" w:hAnsi="仿宋" w:eastAsia="仿宋" w:cs="Times New Roman"/>
          <w:sz w:val="30"/>
          <w:szCs w:val="30"/>
        </w:rPr>
        <w:t>10</w:t>
      </w:r>
      <w:r>
        <w:rPr>
          <w:rFonts w:hint="eastAsia" w:ascii="仿宋" w:hAnsi="仿宋" w:eastAsia="仿宋" w:cs="Times New Roman"/>
          <w:sz w:val="30"/>
          <w:szCs w:val="30"/>
        </w:rPr>
        <w:t>分、减分项</w:t>
      </w:r>
      <w:r>
        <w:rPr>
          <w:rFonts w:ascii="仿宋" w:hAnsi="仿宋" w:eastAsia="仿宋" w:cs="Times New Roman"/>
          <w:sz w:val="30"/>
          <w:szCs w:val="30"/>
        </w:rPr>
        <w:t>10</w:t>
      </w:r>
      <w:r>
        <w:rPr>
          <w:rFonts w:hint="eastAsia" w:ascii="仿宋" w:hAnsi="仿宋" w:eastAsia="仿宋" w:cs="Times New Roman"/>
          <w:sz w:val="30"/>
          <w:szCs w:val="30"/>
        </w:rPr>
        <w:t>分。</w:t>
      </w:r>
    </w:p>
    <w:p>
      <w:pPr>
        <w:spacing w:after="156" w:afterLines="50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优秀：90分以上，合格：80—90</w:t>
      </w:r>
      <w:r>
        <w:rPr>
          <w:rFonts w:hint="eastAsia" w:ascii="仿宋" w:hAnsi="仿宋" w:eastAsia="仿宋" w:cs="Times New Roman"/>
          <w:sz w:val="30"/>
          <w:szCs w:val="30"/>
        </w:rPr>
        <w:t>分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，基本合格：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60—80分，不合格：60分以下。</w:t>
      </w:r>
    </w:p>
    <w:sectPr>
      <w:footerReference r:id="rId3" w:type="default"/>
      <w:pgSz w:w="16838" w:h="11906" w:orient="landscape"/>
      <w:pgMar w:top="964" w:right="1440" w:bottom="164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719FE"/>
    <w:multiLevelType w:val="singleLevel"/>
    <w:tmpl w:val="AE0719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B5BEF0"/>
    <w:multiLevelType w:val="singleLevel"/>
    <w:tmpl w:val="B3B5BE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33042DD"/>
    <w:multiLevelType w:val="singleLevel"/>
    <w:tmpl w:val="E33042D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"/>
      </w:pPr>
    </w:lvl>
  </w:abstractNum>
  <w:abstractNum w:abstractNumId="3">
    <w:nsid w:val="F8731F7B"/>
    <w:multiLevelType w:val="singleLevel"/>
    <w:tmpl w:val="F8731F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6CF8E01"/>
    <w:multiLevelType w:val="singleLevel"/>
    <w:tmpl w:val="06CF8E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1505D9E2"/>
    <w:multiLevelType w:val="singleLevel"/>
    <w:tmpl w:val="1505D9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4B8C30A"/>
    <w:multiLevelType w:val="singleLevel"/>
    <w:tmpl w:val="24B8C3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F8D4423"/>
    <w:multiLevelType w:val="singleLevel"/>
    <w:tmpl w:val="2F8D44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1A27752"/>
    <w:multiLevelType w:val="singleLevel"/>
    <w:tmpl w:val="51A2775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YzBmZTZmOTdhZGQ2MDg4ZmQzN2UyYWE1ZTdmY2UifQ=="/>
  </w:docVars>
  <w:rsids>
    <w:rsidRoot w:val="00B34721"/>
    <w:rsid w:val="00032358"/>
    <w:rsid w:val="0007338A"/>
    <w:rsid w:val="00075178"/>
    <w:rsid w:val="000A2F72"/>
    <w:rsid w:val="000F1FA9"/>
    <w:rsid w:val="0010136F"/>
    <w:rsid w:val="00137280"/>
    <w:rsid w:val="001558A9"/>
    <w:rsid w:val="0016454F"/>
    <w:rsid w:val="001C476A"/>
    <w:rsid w:val="00220B05"/>
    <w:rsid w:val="00223E21"/>
    <w:rsid w:val="00234A5B"/>
    <w:rsid w:val="00255D06"/>
    <w:rsid w:val="0029376D"/>
    <w:rsid w:val="002C797B"/>
    <w:rsid w:val="00356F8A"/>
    <w:rsid w:val="0038681E"/>
    <w:rsid w:val="003970D6"/>
    <w:rsid w:val="003E1D41"/>
    <w:rsid w:val="00441783"/>
    <w:rsid w:val="00464E0B"/>
    <w:rsid w:val="00471710"/>
    <w:rsid w:val="0047557A"/>
    <w:rsid w:val="00483953"/>
    <w:rsid w:val="004937FB"/>
    <w:rsid w:val="00495DD5"/>
    <w:rsid w:val="004C10FE"/>
    <w:rsid w:val="004F5191"/>
    <w:rsid w:val="005358A1"/>
    <w:rsid w:val="00583426"/>
    <w:rsid w:val="005B71F0"/>
    <w:rsid w:val="005D35B9"/>
    <w:rsid w:val="005E1425"/>
    <w:rsid w:val="005E6668"/>
    <w:rsid w:val="005F6F41"/>
    <w:rsid w:val="00632C91"/>
    <w:rsid w:val="006344D9"/>
    <w:rsid w:val="00670B8F"/>
    <w:rsid w:val="00682FC8"/>
    <w:rsid w:val="006932C8"/>
    <w:rsid w:val="006962B8"/>
    <w:rsid w:val="006B58E9"/>
    <w:rsid w:val="006C486B"/>
    <w:rsid w:val="006D3AD8"/>
    <w:rsid w:val="007A2504"/>
    <w:rsid w:val="007A6CE3"/>
    <w:rsid w:val="007B66F9"/>
    <w:rsid w:val="00802A2C"/>
    <w:rsid w:val="00830D6A"/>
    <w:rsid w:val="00857A32"/>
    <w:rsid w:val="0087296C"/>
    <w:rsid w:val="008A4FC9"/>
    <w:rsid w:val="008D6D19"/>
    <w:rsid w:val="00937D0E"/>
    <w:rsid w:val="00940F44"/>
    <w:rsid w:val="009711EA"/>
    <w:rsid w:val="00975661"/>
    <w:rsid w:val="009C151B"/>
    <w:rsid w:val="009E4DEA"/>
    <w:rsid w:val="009E53D9"/>
    <w:rsid w:val="00A27A3F"/>
    <w:rsid w:val="00A9536D"/>
    <w:rsid w:val="00AA6099"/>
    <w:rsid w:val="00AC70B7"/>
    <w:rsid w:val="00B016FC"/>
    <w:rsid w:val="00B05A3E"/>
    <w:rsid w:val="00B34721"/>
    <w:rsid w:val="00B70574"/>
    <w:rsid w:val="00C14B3D"/>
    <w:rsid w:val="00C6688F"/>
    <w:rsid w:val="00C865C9"/>
    <w:rsid w:val="00CF39FD"/>
    <w:rsid w:val="00CF5271"/>
    <w:rsid w:val="00D12B3E"/>
    <w:rsid w:val="00D614C7"/>
    <w:rsid w:val="00D716C3"/>
    <w:rsid w:val="00DB02F9"/>
    <w:rsid w:val="00DB6F4B"/>
    <w:rsid w:val="00E132A5"/>
    <w:rsid w:val="00E915C9"/>
    <w:rsid w:val="00ED028D"/>
    <w:rsid w:val="00F41874"/>
    <w:rsid w:val="00F45287"/>
    <w:rsid w:val="00F63DE4"/>
    <w:rsid w:val="00FB2409"/>
    <w:rsid w:val="017460A8"/>
    <w:rsid w:val="02DE7CA1"/>
    <w:rsid w:val="040C6EF6"/>
    <w:rsid w:val="0428151A"/>
    <w:rsid w:val="06453679"/>
    <w:rsid w:val="06904B7F"/>
    <w:rsid w:val="07293F1F"/>
    <w:rsid w:val="08D37828"/>
    <w:rsid w:val="0A0B54F3"/>
    <w:rsid w:val="0AD23FA1"/>
    <w:rsid w:val="0C6A79CE"/>
    <w:rsid w:val="0C7E623A"/>
    <w:rsid w:val="0D1C0D91"/>
    <w:rsid w:val="0E530486"/>
    <w:rsid w:val="0E7F3AE3"/>
    <w:rsid w:val="1094334A"/>
    <w:rsid w:val="1379410E"/>
    <w:rsid w:val="15803D9D"/>
    <w:rsid w:val="163E1DFB"/>
    <w:rsid w:val="16BF4D98"/>
    <w:rsid w:val="16DE0367"/>
    <w:rsid w:val="17997F8F"/>
    <w:rsid w:val="17EA312A"/>
    <w:rsid w:val="18982665"/>
    <w:rsid w:val="18CD1F36"/>
    <w:rsid w:val="1A550724"/>
    <w:rsid w:val="1BE30595"/>
    <w:rsid w:val="1D80648F"/>
    <w:rsid w:val="1D9B2CCB"/>
    <w:rsid w:val="1E2A2BD0"/>
    <w:rsid w:val="211C7E96"/>
    <w:rsid w:val="222A54E5"/>
    <w:rsid w:val="228026A7"/>
    <w:rsid w:val="23243AA3"/>
    <w:rsid w:val="241F37F9"/>
    <w:rsid w:val="27881B7F"/>
    <w:rsid w:val="27A15C7B"/>
    <w:rsid w:val="2A2C7A1A"/>
    <w:rsid w:val="2C98431D"/>
    <w:rsid w:val="2CA01C03"/>
    <w:rsid w:val="2D8849A0"/>
    <w:rsid w:val="2E0E1FA1"/>
    <w:rsid w:val="2E430E68"/>
    <w:rsid w:val="30624256"/>
    <w:rsid w:val="311A7B14"/>
    <w:rsid w:val="347A67F0"/>
    <w:rsid w:val="36273766"/>
    <w:rsid w:val="36CA2348"/>
    <w:rsid w:val="373F7D85"/>
    <w:rsid w:val="386B24FA"/>
    <w:rsid w:val="3ACB1D79"/>
    <w:rsid w:val="3B0F3819"/>
    <w:rsid w:val="3B6F092F"/>
    <w:rsid w:val="3B8A4D92"/>
    <w:rsid w:val="3C9277EA"/>
    <w:rsid w:val="3D34755B"/>
    <w:rsid w:val="3DDD67A7"/>
    <w:rsid w:val="41176E7E"/>
    <w:rsid w:val="41F253E7"/>
    <w:rsid w:val="425605F9"/>
    <w:rsid w:val="50014212"/>
    <w:rsid w:val="50EB7EB9"/>
    <w:rsid w:val="521C518B"/>
    <w:rsid w:val="538F5A07"/>
    <w:rsid w:val="541E2D13"/>
    <w:rsid w:val="59C45361"/>
    <w:rsid w:val="5B8A7E60"/>
    <w:rsid w:val="5BF034CA"/>
    <w:rsid w:val="5CD7058F"/>
    <w:rsid w:val="5D483382"/>
    <w:rsid w:val="5E3F6311"/>
    <w:rsid w:val="5F5F1EBE"/>
    <w:rsid w:val="60D3692C"/>
    <w:rsid w:val="611E7952"/>
    <w:rsid w:val="61A00C1A"/>
    <w:rsid w:val="61A82AA5"/>
    <w:rsid w:val="629923ED"/>
    <w:rsid w:val="62F421AC"/>
    <w:rsid w:val="632A74C7"/>
    <w:rsid w:val="63424305"/>
    <w:rsid w:val="63D663B9"/>
    <w:rsid w:val="69E93527"/>
    <w:rsid w:val="6A31182A"/>
    <w:rsid w:val="6AF209B5"/>
    <w:rsid w:val="6B4D0EF6"/>
    <w:rsid w:val="6B521B9F"/>
    <w:rsid w:val="6B8C13B8"/>
    <w:rsid w:val="714C3F33"/>
    <w:rsid w:val="73930CC3"/>
    <w:rsid w:val="741B24BE"/>
    <w:rsid w:val="75F75E65"/>
    <w:rsid w:val="77706B25"/>
    <w:rsid w:val="7836483F"/>
    <w:rsid w:val="796F3068"/>
    <w:rsid w:val="7B1269EA"/>
    <w:rsid w:val="7B6A5DB1"/>
    <w:rsid w:val="7B7332E7"/>
    <w:rsid w:val="7B7E5B34"/>
    <w:rsid w:val="7C2868F1"/>
    <w:rsid w:val="7FB058BC"/>
    <w:rsid w:val="7FB32D60"/>
    <w:rsid w:val="AF7BAF14"/>
    <w:rsid w:val="FE1BDC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color w:val="auto"/>
      <w:u w:val="single"/>
    </w:rPr>
  </w:style>
  <w:style w:type="character" w:customStyle="1" w:styleId="8">
    <w:name w:val="页脚 Char"/>
    <w:link w:val="3"/>
    <w:qFormat/>
    <w:locked/>
    <w:uiPriority w:val="99"/>
    <w:rPr>
      <w:sz w:val="18"/>
      <w:szCs w:val="18"/>
    </w:rPr>
  </w:style>
  <w:style w:type="character" w:customStyle="1" w:styleId="9">
    <w:name w:val="页眉 Char"/>
    <w:link w:val="4"/>
    <w:qFormat/>
    <w:locked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cs="Calibri"/>
      <w:kern w:val="2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5</Pages>
  <Words>2355</Words>
  <Characters>2529</Characters>
  <Lines>24</Lines>
  <Paragraphs>6</Paragraphs>
  <TotalTime>49</TotalTime>
  <ScaleCrop>false</ScaleCrop>
  <LinksUpToDate>false</LinksUpToDate>
  <CharactersWithSpaces>2737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2021-09-28T17:27:00Z</dcterms:created>
  <dc:creator>gxp</dc:creator>
  <cp:lastModifiedBy>thtf</cp:lastModifiedBy>
  <cp:lastPrinted>2023-04-25T13:46:03Z</cp:lastPrinted>
  <dcterms:modified xsi:type="dcterms:W3CDTF">2023-04-25T13:46:09Z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2C31350E47F846E1979D7ED3E3AAD52A</vt:lpwstr>
  </property>
</Properties>
</file>