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40"/>
        </w:tabs>
        <w:jc w:val="center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华康简标题宋" w:hAnsi="宋体" w:eastAsia="华康简标题宋"/>
          <w:b/>
          <w:bCs/>
          <w:spacing w:val="20"/>
          <w:sz w:val="52"/>
          <w:szCs w:val="52"/>
        </w:rPr>
        <w:t>牙周病专业</w:t>
      </w:r>
      <w:r>
        <w:rPr>
          <w:rFonts w:hint="eastAsia" w:ascii="华康简标题宋" w:hAnsi="宋体" w:eastAsia="华康简标题宋"/>
          <w:b/>
          <w:bCs/>
          <w:spacing w:val="20"/>
          <w:sz w:val="52"/>
          <w:szCs w:val="52"/>
          <w:lang w:eastAsia="zh-CN"/>
        </w:rPr>
        <w:t>省</w:t>
      </w:r>
      <w:r>
        <w:rPr>
          <w:rFonts w:hint="eastAsia" w:ascii="华康简标题宋" w:hAnsi="宋体" w:eastAsia="华康简标题宋"/>
          <w:b/>
          <w:bCs/>
          <w:spacing w:val="20"/>
          <w:sz w:val="52"/>
          <w:szCs w:val="52"/>
          <w:lang w:val="en-US" w:eastAsia="zh-CN"/>
        </w:rPr>
        <w:t>级</w:t>
      </w:r>
      <w:r>
        <w:rPr>
          <w:rFonts w:hint="eastAsia" w:ascii="华康简标题宋" w:hAnsi="宋体" w:eastAsia="华康简标题宋"/>
          <w:b/>
          <w:bCs/>
          <w:spacing w:val="20"/>
          <w:sz w:val="52"/>
          <w:szCs w:val="52"/>
        </w:rPr>
        <w:t>临</w:t>
      </w:r>
      <w:bookmarkStart w:id="0" w:name="_GoBack"/>
      <w:bookmarkEnd w:id="0"/>
      <w:r>
        <w:rPr>
          <w:rFonts w:hint="eastAsia" w:ascii="华康简标题宋" w:hAnsi="宋体" w:eastAsia="华康简标题宋"/>
          <w:b/>
          <w:bCs/>
          <w:spacing w:val="20"/>
          <w:sz w:val="52"/>
          <w:szCs w:val="52"/>
        </w:rPr>
        <w:t>床重点专科</w:t>
      </w:r>
      <w:r>
        <w:rPr>
          <w:rFonts w:hint="eastAsia" w:ascii="华康简标题宋" w:hAnsi="宋体" w:eastAsia="华康简标题宋"/>
          <w:b/>
          <w:bCs/>
          <w:spacing w:val="20"/>
          <w:sz w:val="52"/>
          <w:szCs w:val="52"/>
          <w:lang w:eastAsia="zh-CN"/>
        </w:rPr>
        <w:t>建设项目申报标准（试行）</w:t>
      </w:r>
    </w:p>
    <w:p>
      <w:pPr>
        <w:jc w:val="center"/>
        <w:rPr>
          <w:rFonts w:hint="eastAsia" w:ascii="宋体" w:hAnsi="宋体"/>
          <w:bCs/>
          <w:snapToGrid w:val="0"/>
          <w:kern w:val="0"/>
          <w:szCs w:val="28"/>
        </w:rPr>
      </w:pPr>
    </w:p>
    <w:tbl>
      <w:tblPr>
        <w:tblStyle w:val="4"/>
        <w:tblW w:w="11855" w:type="dxa"/>
        <w:jc w:val="center"/>
        <w:tblInd w:w="-4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2086"/>
        <w:gridCol w:w="14"/>
        <w:gridCol w:w="8482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54" w:hRule="atLeast"/>
          <w:jc w:val="center"/>
        </w:trPr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一</w:t>
            </w:r>
          </w:p>
        </w:tc>
        <w:tc>
          <w:tcPr>
            <w:tcW w:w="1058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  <w:t>基础条件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480" w:hRule="atLeast"/>
          <w:jc w:val="center"/>
        </w:trPr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</w:t>
            </w:r>
          </w:p>
        </w:tc>
        <w:tc>
          <w:tcPr>
            <w:tcW w:w="20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发展环境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医院专科建设发展规划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686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医院有扶持专科建设的政策或措施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737" w:hRule="atLeast"/>
          <w:jc w:val="center"/>
        </w:trPr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2</w:t>
            </w:r>
          </w:p>
        </w:tc>
        <w:tc>
          <w:tcPr>
            <w:tcW w:w="20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专科规模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 xml:space="preserve">独立建制，科室布局合理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806" w:hRule="exac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椅位数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973" w:hRule="exac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每椅净使用面积≥8-12平方米，(业务用房不包括辅助用房)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1724" w:hRule="exact"/>
          <w:jc w:val="center"/>
        </w:trPr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3</w:t>
            </w:r>
          </w:p>
        </w:tc>
        <w:tc>
          <w:tcPr>
            <w:tcW w:w="20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支撑条件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相关科室能够满足专科发展需要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1271" w:hRule="exac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医疗设备能满足牙周专科开展全部技术项目需要，具有先进性和适宜性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1712" w:hRule="exac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医院对专科经费投入情况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783" w:hRule="exact"/>
          <w:jc w:val="center"/>
        </w:trPr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4</w:t>
            </w:r>
          </w:p>
        </w:tc>
        <w:tc>
          <w:tcPr>
            <w:tcW w:w="20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科室管理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科室有详细的发展规划及具体实施计划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778" w:hRule="exac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诊室（病区）整洁，管理有序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626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依法执业，落实医疗核心制度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760" w:hRule="exac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遵守诊疗技术操作规范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780" w:hRule="exac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科室有质量管理方案和有风险防范预案，并组织落实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1079" w:hRule="exac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岗位职责明确，行业作风优良，科室人员团结协作，有良好的医德医风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82" w:hRule="atLeast"/>
          <w:jc w:val="center"/>
        </w:trPr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二</w:t>
            </w:r>
          </w:p>
        </w:tc>
        <w:tc>
          <w:tcPr>
            <w:tcW w:w="1058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  <w:t>医疗技术队伍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1223" w:hRule="atLeast"/>
          <w:jc w:val="center"/>
        </w:trPr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5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整体实力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形成技术团队，整体技术实力较高，各级医师掌握相应技术能力，并能得到持续提高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567" w:hRule="atLeast"/>
          <w:jc w:val="center"/>
        </w:trPr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6</w:t>
            </w:r>
          </w:p>
        </w:tc>
        <w:tc>
          <w:tcPr>
            <w:tcW w:w="20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学科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带头人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学术地位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567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临床能力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1323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教学科研水平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1323" w:hRule="atLeast"/>
          <w:jc w:val="center"/>
        </w:trPr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学术带头人</w:t>
            </w:r>
          </w:p>
        </w:tc>
        <w:tc>
          <w:tcPr>
            <w:tcW w:w="8496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1323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学术地位△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1323" w:hRule="atLeast"/>
          <w:jc w:val="center"/>
        </w:trPr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临床能力△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1323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教学科研水平△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759" w:hRule="atLeast"/>
          <w:jc w:val="center"/>
        </w:trPr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7</w:t>
            </w:r>
          </w:p>
        </w:tc>
        <w:tc>
          <w:tcPr>
            <w:tcW w:w="20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学科骨干</w:t>
            </w: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686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学术地位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1562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临床能力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1406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教学科研水平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567" w:hRule="atLeast"/>
          <w:jc w:val="center"/>
        </w:trPr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8</w:t>
            </w:r>
          </w:p>
        </w:tc>
        <w:tc>
          <w:tcPr>
            <w:tcW w:w="20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医师队伍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年龄结构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751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746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职称结构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567" w:hRule="atLeast"/>
          <w:jc w:val="center"/>
        </w:trPr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9</w:t>
            </w:r>
          </w:p>
        </w:tc>
        <w:tc>
          <w:tcPr>
            <w:tcW w:w="20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护理队伍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人员数量、年龄结构、学历结构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567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护士长能力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567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护理专科业务培训及能力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682" w:hRule="atLeast"/>
          <w:jc w:val="center"/>
        </w:trPr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10</w:t>
            </w:r>
          </w:p>
        </w:tc>
        <w:tc>
          <w:tcPr>
            <w:tcW w:w="20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人才培养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人员培养情况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945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08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6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进修学习情况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582" w:hRule="atLeast"/>
          <w:jc w:val="center"/>
        </w:trPr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三</w:t>
            </w:r>
          </w:p>
        </w:tc>
        <w:tc>
          <w:tcPr>
            <w:tcW w:w="1058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  <w:t>医疗服务能力与水平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930" w:hRule="atLeast"/>
          <w:jc w:val="center"/>
        </w:trPr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11</w:t>
            </w:r>
          </w:p>
        </w:tc>
        <w:tc>
          <w:tcPr>
            <w:tcW w:w="2100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总体水平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82" w:type="dxa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专业设置合理，整体实力强，特色突出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440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82" w:type="dxa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平均年门诊人次（初、复诊）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440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82" w:type="dxa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诊椅使用率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440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82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疑难病例比例△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930" w:hRule="atLeast"/>
          <w:jc w:val="center"/>
        </w:trPr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12</w:t>
            </w:r>
          </w:p>
        </w:tc>
        <w:tc>
          <w:tcPr>
            <w:tcW w:w="2100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专科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建设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82" w:type="dxa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专业与专科发展适应性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930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82" w:type="dxa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专业的技术水平和服务能力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930" w:hRule="atLeast"/>
          <w:jc w:val="center"/>
        </w:trPr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13</w:t>
            </w:r>
          </w:p>
        </w:tc>
        <w:tc>
          <w:tcPr>
            <w:tcW w:w="21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技术特色</w:t>
            </w:r>
          </w:p>
          <w:p>
            <w:pPr>
              <w:pStyle w:val="2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82" w:type="dxa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技术特色和先进性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770" w:hRule="atLeast"/>
          <w:jc w:val="center"/>
        </w:trPr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14</w:t>
            </w:r>
          </w:p>
        </w:tc>
        <w:tc>
          <w:tcPr>
            <w:tcW w:w="2100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诊治能力</w:t>
            </w:r>
          </w:p>
        </w:tc>
        <w:tc>
          <w:tcPr>
            <w:tcW w:w="8482" w:type="dxa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能否独立诊治本专科主要病种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770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482" w:type="dxa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主要病种诊疗效果，并发症、合并症发生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930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82" w:type="dxa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疑难重症诊治能力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1264" w:hRule="atLeast"/>
          <w:jc w:val="center"/>
        </w:trPr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15</w:t>
            </w:r>
          </w:p>
        </w:tc>
        <w:tc>
          <w:tcPr>
            <w:tcW w:w="2100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创新能力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82" w:type="dxa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对新业务、新技术开展的计划性和实效性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930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82" w:type="dxa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新业务、新技术开展情况及新成果转化能力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930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82" w:type="dxa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新业务、新技术的开展是否遵守技术准入制度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532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82" w:type="dxa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新业务、新技术研究与开发能力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765" w:hRule="atLeast"/>
          <w:jc w:val="center"/>
        </w:trPr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16</w:t>
            </w:r>
          </w:p>
        </w:tc>
        <w:tc>
          <w:tcPr>
            <w:tcW w:w="2100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辐射能力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82" w:type="dxa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color w:val="FF0000"/>
                <w:kern w:val="0"/>
                <w:sz w:val="24"/>
              </w:rPr>
              <w:t>年诊治患者中省外患者比例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1622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82" w:type="dxa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color w:val="FF0000"/>
                <w:kern w:val="0"/>
                <w:sz w:val="24"/>
              </w:rPr>
              <w:t>接进修医师来源情况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930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82" w:type="dxa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对其它医院技术帮建情况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930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82" w:type="dxa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技术推广情况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714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82" w:type="dxa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color w:val="FF0000"/>
                <w:kern w:val="0"/>
                <w:sz w:val="24"/>
              </w:rPr>
              <w:t>受邀在国</w:t>
            </w:r>
            <w:r>
              <w:rPr>
                <w:rFonts w:hint="eastAsia" w:ascii="宋体" w:hAnsi="宋体"/>
                <w:bCs/>
                <w:snapToGrid w:val="0"/>
                <w:color w:val="FF0000"/>
                <w:kern w:val="0"/>
                <w:sz w:val="24"/>
                <w:lang w:val="en-US" w:eastAsia="zh-CN"/>
              </w:rPr>
              <w:t>内</w:t>
            </w:r>
            <w:r>
              <w:rPr>
                <w:rFonts w:hint="eastAsia" w:ascii="宋体" w:hAnsi="宋体"/>
                <w:bCs/>
                <w:snapToGrid w:val="0"/>
                <w:color w:val="FF0000"/>
                <w:kern w:val="0"/>
                <w:sz w:val="24"/>
              </w:rPr>
              <w:t>学术会议上作报告情况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643" w:hRule="atLeast"/>
          <w:jc w:val="center"/>
        </w:trPr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四</w:t>
            </w:r>
          </w:p>
        </w:tc>
        <w:tc>
          <w:tcPr>
            <w:tcW w:w="1058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  <w:t>医疗质量状况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643" w:hRule="atLeast"/>
          <w:jc w:val="center"/>
        </w:trPr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17</w:t>
            </w:r>
          </w:p>
        </w:tc>
        <w:tc>
          <w:tcPr>
            <w:tcW w:w="2100" w:type="dxa"/>
            <w:gridSpan w:val="2"/>
            <w:vMerge w:val="restart"/>
            <w:tcBorders>
              <w:top w:val="nil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质量概况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848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病人满意度调查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643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84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尊重和维护患者的权益，医患关系和谐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643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医疗质量及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护理质量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84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合理检查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1873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848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诊断正确率</w:t>
            </w:r>
          </w:p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359" w:hRule="atLeast"/>
          <w:jc w:val="center"/>
        </w:trPr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18</w:t>
            </w:r>
          </w:p>
        </w:tc>
        <w:tc>
          <w:tcPr>
            <w:tcW w:w="2100" w:type="dxa"/>
            <w:gridSpan w:val="2"/>
            <w:vMerge w:val="restart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医疗质量及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护理质量</w:t>
            </w:r>
          </w:p>
        </w:tc>
        <w:tc>
          <w:tcPr>
            <w:tcW w:w="8482" w:type="dxa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合理治疗设计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754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82" w:type="dxa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治疗措施的合理性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5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bCs/>
                <w:i/>
                <w:snapToGrid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甲级病案率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5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bCs/>
                <w:i/>
                <w:snapToGrid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患者随访及治疗效果评价结果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5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预防和控制医院感染相关制度的建立及执行情况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5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专家门诊情况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5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</w:rPr>
              <w:t>门诊患者中预约患者的比例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5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</w:rPr>
              <w:t>建立并实施分级护理质量标准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5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护理合格率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  <w:jc w:val="center"/>
        </w:trPr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五</w:t>
            </w:r>
          </w:p>
        </w:tc>
        <w:tc>
          <w:tcPr>
            <w:tcW w:w="10595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  <w:t>科研与教学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19</w:t>
            </w:r>
          </w:p>
        </w:tc>
        <w:tc>
          <w:tcPr>
            <w:tcW w:w="2100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学术影响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学术委员会任职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4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学术刊物任职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主办学术会议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5" w:hRule="atLeast"/>
          <w:jc w:val="center"/>
        </w:trPr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20</w:t>
            </w:r>
          </w:p>
        </w:tc>
        <w:tc>
          <w:tcPr>
            <w:tcW w:w="21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专科方向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专科的临床研究方向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21</w:t>
            </w:r>
          </w:p>
        </w:tc>
        <w:tc>
          <w:tcPr>
            <w:tcW w:w="2100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科研项目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国家级项目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部（省）级项目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5" w:hRule="atLeast"/>
          <w:jc w:val="center"/>
        </w:trPr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22</w:t>
            </w:r>
          </w:p>
        </w:tc>
        <w:tc>
          <w:tcPr>
            <w:tcW w:w="2100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科研成果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国家级、部（省）级科技奖励(一、二等)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5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SCI收录、中华医学系列杂志及统计源期刊论著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1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发明、新型实用、外观设计专利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 w:hRule="atLeast"/>
          <w:jc w:val="center"/>
        </w:trPr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23</w:t>
            </w:r>
          </w:p>
        </w:tc>
        <w:tc>
          <w:tcPr>
            <w:tcW w:w="21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接受进修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接受外单位在职人员进修或情况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 w:hRule="atLeast"/>
          <w:jc w:val="center"/>
        </w:trPr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2100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  <w:szCs w:val="24"/>
                <w:lang w:val="en-US" w:eastAsia="zh-CN" w:bidi="ar-SA"/>
              </w:rPr>
              <w:t>学生教育</w:t>
            </w:r>
          </w:p>
        </w:tc>
        <w:tc>
          <w:tcPr>
            <w:tcW w:w="84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本科生教学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研究生培养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 w:hRule="atLeast"/>
          <w:jc w:val="center"/>
        </w:trPr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2100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  <w:lang w:eastAsia="zh-CN"/>
              </w:rPr>
              <w:t>继续教育</w:t>
            </w:r>
          </w:p>
        </w:tc>
        <w:tc>
          <w:tcPr>
            <w:tcW w:w="84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国家级、省级(甲类)、市级(乙类)继续教育项目：深入基层举办继续教育项目(学习班、论坛)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 w:hRule="atLeast"/>
          <w:jc w:val="center"/>
        </w:trPr>
        <w:tc>
          <w:tcPr>
            <w:tcW w:w="126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84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 xml:space="preserve">规范化医师培训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 w:hRule="atLeast"/>
          <w:jc w:val="center"/>
        </w:trPr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21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  <w:lang w:eastAsia="zh-CN"/>
              </w:rPr>
              <w:t>编写教材</w:t>
            </w:r>
          </w:p>
        </w:tc>
        <w:tc>
          <w:tcPr>
            <w:tcW w:w="849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5年内参加教材编写工作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新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F7100"/>
    <w:rsid w:val="3B3B20BB"/>
    <w:rsid w:val="63755B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liululu</dc:creator>
  <cp:lastModifiedBy>smd</cp:lastModifiedBy>
  <dcterms:modified xsi:type="dcterms:W3CDTF">2017-06-30T08:51:40Z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