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 w:ascii="华康简标题宋" w:hAnsi="华康简标题宋" w:eastAsia="华康简标题宋" w:cs="华康简标题宋"/>
          <w:b/>
          <w:bCs/>
          <w:spacing w:val="20"/>
          <w:sz w:val="48"/>
          <w:szCs w:val="48"/>
          <w:rtl w:val="0"/>
          <w:lang w:val="zh-Hans" w:eastAsia="zh-CN"/>
        </w:rPr>
      </w:pPr>
      <w:r>
        <w:rPr>
          <w:rFonts w:hint="eastAsia" w:ascii="华康简标题宋" w:hAnsi="华康简标题宋" w:eastAsia="华康简标题宋" w:cs="华康简标题宋"/>
          <w:b/>
          <w:bCs/>
          <w:spacing w:val="20"/>
          <w:sz w:val="48"/>
          <w:szCs w:val="48"/>
          <w:rtl w:val="0"/>
          <w:lang w:val="zh-Hans" w:eastAsia="zh-CN"/>
        </w:rPr>
        <w:t>结直肠肛门外科省级临床重点专科建设项目申报标准（试行）</w:t>
      </w:r>
    </w:p>
    <w:p>
      <w:pPr>
        <w:pStyle w:val="10"/>
        <w:jc w:val="center"/>
        <w:rPr>
          <w:rFonts w:hint="eastAsia" w:ascii="华康简标题宋" w:hAnsi="华康简标题宋" w:eastAsia="华康简标题宋" w:cs="华康简标题宋"/>
          <w:b/>
          <w:bCs/>
          <w:spacing w:val="20"/>
          <w:sz w:val="48"/>
          <w:szCs w:val="48"/>
          <w:rtl w:val="0"/>
          <w:lang w:val="zh-Hans" w:eastAsia="zh-Hans"/>
        </w:rPr>
      </w:pPr>
      <w:bookmarkStart w:id="0" w:name="_GoBack"/>
      <w:bookmarkEnd w:id="0"/>
    </w:p>
    <w:p>
      <w:pPr>
        <w:pStyle w:val="10"/>
        <w:rPr>
          <w:rFonts w:ascii="宋体" w:hAnsi="宋体" w:eastAsia="宋体" w:cs="宋体"/>
          <w:kern w:val="0"/>
        </w:rPr>
      </w:pPr>
    </w:p>
    <w:tbl>
      <w:tblPr>
        <w:tblStyle w:val="8"/>
        <w:tblW w:w="11846" w:type="dxa"/>
        <w:jc w:val="center"/>
        <w:tblInd w:w="-5546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36"/>
        <w:gridCol w:w="3"/>
        <w:gridCol w:w="11"/>
        <w:gridCol w:w="7971"/>
      </w:tblGrid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一</w:t>
            </w:r>
          </w:p>
        </w:tc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基础条件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发展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环境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医院专科建设发展规划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医院有扶持专科建设的政策或措施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专科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规模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床位数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每张病床净使用面积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≥6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支撑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条件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相关科室能够满足专科发展需要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医疗设备能满足专科开展全部技术项目需要，具有先进性和适宜性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医院对专科经费投入情况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二</w:t>
            </w:r>
          </w:p>
        </w:tc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医疗技术队伍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技术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团队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整体实力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带头人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学术地位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临床能力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教学科研水平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骨干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学术地位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临床能力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教学科研水平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医师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队伍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年龄结构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学历结构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职称结构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护士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队伍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人员数量、年龄结构、学历结构、职称结构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护士长能力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护理专科业务培训及能力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人才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培养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有专科人员培训计划并保证落实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进修学习情况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三</w:t>
            </w:r>
          </w:p>
        </w:tc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医疗服务能力与水平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总体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水平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整体实力强，特色突出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平均年出院人数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平均年门诊人次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平均住院日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疑难病例比例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rtl w:val="0"/>
                <w:lang w:val="zh-CN" w:eastAsia="zh-CN"/>
              </w:rPr>
              <w:t>多学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建设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rtl w:val="0"/>
                <w:lang w:val="zh-CN" w:eastAsia="zh-CN"/>
              </w:rPr>
              <w:t>多学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rtl w:val="0"/>
                <w:lang w:val="zh-CN" w:eastAsia="zh-CN"/>
              </w:rPr>
              <w:t>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kern w:val="0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rtl w:val="0"/>
                <w:lang w:val="zh-CN" w:eastAsia="zh-CN"/>
              </w:rPr>
              <w:t>多学科活动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技术</w:t>
            </w:r>
          </w:p>
          <w:p>
            <w:pPr>
              <w:pStyle w:val="11"/>
              <w:bidi w:val="0"/>
              <w:ind w:left="0" w:right="0" w:firstLine="0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特色</w:t>
            </w:r>
          </w:p>
          <w:p>
            <w:pPr>
              <w:pStyle w:val="11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技术特色和先进性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诊治</w:t>
            </w:r>
          </w:p>
          <w:p>
            <w:pPr>
              <w:pStyle w:val="1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能力</w:t>
            </w: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能否独立诊治本专科主要病种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疑难及危重病种诊治能力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创新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能力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创新项目的数量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创新水平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创新项目的临床转化能力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辐射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能力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年出院患者中省市外患者比例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进修医师来源情况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技术推广情况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受邀在国内外召开的国际学术会议上作学术报告情况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四</w:t>
            </w:r>
          </w:p>
        </w:tc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医疗质量状况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质量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概况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合理用血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合理用药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病人满意度调查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医疗事故情况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单病种质量及费用</w:t>
            </w: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单病种质量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left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单病种费用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病区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质量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手术前后诊断符合率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临床主要诊断、病理诊断符合率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甲级病案率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出院患者随访及治疗效果评价结果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择期手术患者术前平均住院日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建立并实施基础护理和专科护理质量评价标准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基础护理、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危重患者护理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手术感染率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门诊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质量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专家出门诊情况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入出院诊断符合率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五</w:t>
            </w:r>
          </w:p>
        </w:tc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黑体" w:hAnsi="黑体" w:eastAsia="黑体" w:cs="黑体"/>
                <w:b/>
                <w:bCs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科研与教学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学术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影响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学术委员会任职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学术刊物任职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主办学术会议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专科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方向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专科的临床研究方向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科研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项目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国家级省级项目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部（省）级项目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临床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方向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的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科研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成果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国家级、部（省）级科技奖励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一、二等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Times New Roman" w:hAnsi="Times New Roman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SCI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收录、中华医学系列杂志及统计源期刊论著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发明、新型实用、外观设计专利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行业标准及国家指南制定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学生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教育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本科生教学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研究生培养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继续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教育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国家级、省级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甲类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、市级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乙类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继续教育项目；深入基层举办继续教育项目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学习班、论坛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 xml:space="preserve">规范化医师培训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编写教材</w:t>
            </w:r>
          </w:p>
          <w:p>
            <w:pPr>
              <w:pStyle w:val="1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Hans" w:eastAsia="zh-Hans"/>
              </w:rPr>
              <w:t>年内参加教育部、卫生部普通高等院校规划教材编写工作</w:t>
            </w:r>
          </w:p>
        </w:tc>
      </w:tr>
    </w:tbl>
    <w:p>
      <w:pPr>
        <w:pStyle w:val="10"/>
        <w:ind w:left="108" w:hanging="108"/>
        <w:jc w:val="center"/>
        <w:rPr>
          <w:rFonts w:ascii="Times New Roman" w:hAnsi="Times New Roman" w:eastAsia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vertAlign w:val="baseline"/>
          <w:rtl w:val="0"/>
        </w:rPr>
      </w:pPr>
    </w:p>
    <w:p/>
    <w:sectPr>
      <w:head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标题宋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572C"/>
    <w:rsid w:val="4C9B6F48"/>
    <w:rsid w:val="7A203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正文 A"/>
    <w:qFormat/>
    <w:uiPriority w:val="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hAnsi="Arial Unicode MS" w:eastAsia="Arial Unicode MS" w:cs="Arial Unicode MS"/>
      <w:color w:val="000000"/>
      <w:spacing w:val="0"/>
      <w:kern w:val="2"/>
      <w:position w:val="0"/>
      <w:sz w:val="21"/>
      <w:szCs w:val="21"/>
      <w:u w:val="none" w:color="000000"/>
      <w:vertAlign w:val="baseline"/>
      <w:rtl w:val="0"/>
      <w:lang w:val="en-US"/>
    </w:rPr>
  </w:style>
  <w:style w:type="paragraph" w:customStyle="1" w:styleId="11">
    <w:name w:val="正文文本1"/>
    <w:qFormat/>
    <w:uiPriority w:val="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 Unicode MS" w:hAnsi="Arial Unicode MS" w:eastAsia="Arial Unicode MS" w:cs="Arial Unicode MS"/>
      <w:color w:val="000000"/>
      <w:spacing w:val="0"/>
      <w:kern w:val="2"/>
      <w:position w:val="0"/>
      <w:sz w:val="21"/>
      <w:szCs w:val="21"/>
      <w:u w:val="none" w:color="000000"/>
      <w:vertAlign w:val="baseline"/>
      <w:rtl w:val="0"/>
      <w:lang w:val="en-US"/>
    </w:rPr>
  </w:style>
  <w:style w:type="paragraph" w:customStyle="1" w:styleId="12">
    <w:name w:val="默认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kern w:val="0"/>
      <w:position w:val="0"/>
      <w:sz w:val="22"/>
      <w:szCs w:val="22"/>
      <w:u w:val="none" w:color="000000"/>
      <w:vertAlign w:val="baseline"/>
      <w:rtl w:val="0"/>
    </w:rPr>
  </w:style>
  <w:style w:type="character" w:customStyle="1" w:styleId="13">
    <w:name w:val="Hyperlink.0"/>
    <w:qFormat/>
    <w:uiPriority w:val="0"/>
    <w:rPr>
      <w:rFonts w:ascii="仿宋_GB2312" w:hAnsi="仿宋_GB2312" w:eastAsia="仿宋_GB2312" w:cs="仿宋_GB2312"/>
      <w:sz w:val="28"/>
      <w:szCs w:val="28"/>
      <w:lang w:val="zh-Hans" w:eastAsia="zh-Hans"/>
    </w:rPr>
  </w:style>
  <w:style w:type="paragraph" w:customStyle="1" w:styleId="14">
    <w:name w:val="页眉与页脚"/>
    <w:qFormat/>
    <w:uiPriority w:val="0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liululu</dc:creator>
  <cp:lastModifiedBy>liululu</cp:lastModifiedBy>
  <dcterms:modified xsi:type="dcterms:W3CDTF">2017-07-04T06:38:08Z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