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bCs/>
          <w:sz w:val="36"/>
          <w:szCs w:val="32"/>
        </w:rPr>
      </w:pPr>
      <w:bookmarkStart w:id="0" w:name="_GoBack"/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</w:rPr>
        <w:t>皮肤科</w:t>
      </w:r>
      <w:bookmarkEnd w:id="0"/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  <w:lang w:eastAsia="zh-CN"/>
        </w:rPr>
        <w:t>省</w:t>
      </w: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  <w:lang w:val="en-US" w:eastAsia="zh-CN"/>
        </w:rPr>
        <w:t>级</w:t>
      </w: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</w:rPr>
        <w:t>临床重点专科</w:t>
      </w:r>
      <w:r>
        <w:rPr>
          <w:rFonts w:hint="eastAsia" w:ascii="华康简标题宋" w:hAnsi="宋体" w:eastAsia="华康简标题宋"/>
          <w:b/>
          <w:bCs/>
          <w:spacing w:val="20"/>
          <w:sz w:val="52"/>
          <w:szCs w:val="52"/>
          <w:lang w:eastAsia="zh-CN"/>
        </w:rPr>
        <w:t>建设项目申报标准（试行）</w:t>
      </w:r>
    </w:p>
    <w:p>
      <w:pPr>
        <w:spacing w:line="460" w:lineRule="exact"/>
        <w:ind w:firstLine="800" w:firstLineChars="25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napToGrid w:val="0"/>
          <w:kern w:val="0"/>
          <w:szCs w:val="28"/>
        </w:rPr>
      </w:pPr>
    </w:p>
    <w:tbl>
      <w:tblPr>
        <w:tblStyle w:val="7"/>
        <w:tblW w:w="11416" w:type="dxa"/>
        <w:jc w:val="center"/>
        <w:tblInd w:w="-7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2211"/>
        <w:gridCol w:w="7382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67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一</w:t>
            </w:r>
          </w:p>
        </w:tc>
        <w:tc>
          <w:tcPr>
            <w:tcW w:w="959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891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</w:t>
            </w:r>
          </w:p>
        </w:tc>
        <w:tc>
          <w:tcPr>
            <w:tcW w:w="2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医院发展环境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医院有扶持专科建设的政策或措施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825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规模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106" w:hRule="exac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门诊使用面积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695" w:hRule="exac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3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支撑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条件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医疗设备能满足专科开展全部技术项目需要，具有先进性和适宜性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40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医院对专科经费投入情况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635" w:hRule="exac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二</w:t>
            </w:r>
          </w:p>
        </w:tc>
        <w:tc>
          <w:tcPr>
            <w:tcW w:w="959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医疗技术队伍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567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带头人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5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13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教学科研水平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03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5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骨干</w:t>
            </w: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52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014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042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教学科研水平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386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6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医师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队伍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07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职称结构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34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7</w:t>
            </w:r>
          </w:p>
        </w:tc>
        <w:tc>
          <w:tcPr>
            <w:tcW w:w="2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护士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队伍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人员数量、年龄结构、学历结构、职称结构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000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8</w:t>
            </w:r>
          </w:p>
        </w:tc>
        <w:tc>
          <w:tcPr>
            <w:tcW w:w="2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人才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进修学习情况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634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三</w:t>
            </w:r>
          </w:p>
        </w:tc>
        <w:tc>
          <w:tcPr>
            <w:tcW w:w="959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医疗服务能力、水平与医疗质量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30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9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总体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水平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整体实力强，特色突出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22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平均年出院人数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540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平均年门急诊人次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824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疑难危重病例数量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30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10</w:t>
            </w:r>
          </w:p>
        </w:tc>
        <w:tc>
          <w:tcPr>
            <w:tcW w:w="2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亚专科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建设</w:t>
            </w: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各亚专科的技术水平和服务能力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70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11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诊治</w:t>
            </w:r>
          </w:p>
          <w:p>
            <w:pPr>
              <w:pStyle w:val="2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能力</w:t>
            </w: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能否独立诊治本专科主要病种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73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疑难病种诊治能力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30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危重症诊治能力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97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12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能力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创新项目的数量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823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65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13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辐射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能力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年出院患者中省（市</w:t>
            </w: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外患者比例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2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进修医师情况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18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6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受邀在全国或（境）外召开的大型学术会议上做学术报告情况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66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14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医疗质量状况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合理用药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50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病人满意度调查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20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医疗事故情况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6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临床主要诊断、病理诊断符合率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6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建立并实施基础护理和专科护理质量评价标准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6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基础护理、</w:t>
            </w:r>
            <w:r>
              <w:rPr>
                <w:rFonts w:hint="eastAsia" w:ascii="宋体" w:hAnsi="宋体"/>
                <w:bCs/>
                <w:snapToGrid w:val="0"/>
                <w:sz w:val="24"/>
              </w:rPr>
              <w:t>危重患者护理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6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专家出门诊情况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67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入出院诊断符合率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635" w:hRule="atLeast"/>
          <w:jc w:val="center"/>
        </w:trPr>
        <w:tc>
          <w:tcPr>
            <w:tcW w:w="17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四</w:t>
            </w:r>
          </w:p>
        </w:tc>
        <w:tc>
          <w:tcPr>
            <w:tcW w:w="959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24"/>
              </w:rPr>
              <w:t>科研与教学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645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15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影响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学术委员会任职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188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学术刊物任职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64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主办学术会议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530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16</w:t>
            </w:r>
          </w:p>
        </w:tc>
        <w:tc>
          <w:tcPr>
            <w:tcW w:w="2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国家级及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部重点课题项目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17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临床方向的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成果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国家级、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级教学科研奖励(一、二等)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SCI收录、中华医学系列杂志及统计源期刊论著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发明、新型实用、外观设计专利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行业标准及国家指南制定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18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学生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教育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本科生教学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研究生培养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8" w:hRule="atLeast"/>
          <w:jc w:val="center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19</w:t>
            </w:r>
          </w:p>
        </w:tc>
        <w:tc>
          <w:tcPr>
            <w:tcW w:w="22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继续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教育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国家级、省级(甲类)、市级(乙类)继续教育项目；深入基层举办继续教育项目(学习班、论坛)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73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2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 xml:space="preserve">规范化医师培训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7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20</w:t>
            </w:r>
          </w:p>
        </w:tc>
        <w:tc>
          <w:tcPr>
            <w:tcW w:w="2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编写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教材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三年内参加教育部、卫生部普通高等院校规划教材编写工作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even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简标题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5708"/>
    <w:rsid w:val="13EA2DC1"/>
    <w:rsid w:val="26C97BC8"/>
    <w:rsid w:val="4B17414D"/>
    <w:rsid w:val="6ED06733"/>
    <w:rsid w:val="73077AF7"/>
    <w:rsid w:val="7A801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liululu</dc:creator>
  <cp:lastModifiedBy>smd</cp:lastModifiedBy>
  <dcterms:modified xsi:type="dcterms:W3CDTF">2017-06-30T08:49:15Z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