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jc w:val="center"/>
        <w:rPr>
          <w:rFonts w:hint="eastAsia" w:ascii="方正小标宋简体" w:hAnsi="仿宋" w:eastAsia="方正小标宋简体"/>
          <w:bCs/>
          <w:sz w:val="44"/>
          <w:szCs w:val="44"/>
        </w:rPr>
      </w:pPr>
      <w:r>
        <w:rPr>
          <w:rFonts w:hint="eastAsia" w:ascii="方正小标宋简体" w:hAnsi="仿宋" w:eastAsia="方正小标宋简体"/>
          <w:bCs/>
          <w:sz w:val="44"/>
          <w:szCs w:val="44"/>
        </w:rPr>
        <w:t>辽宁省药品临床综合评价工作方案</w:t>
      </w:r>
    </w:p>
    <w:p>
      <w:pPr>
        <w:pStyle w:val="5"/>
        <w:spacing w:line="600" w:lineRule="exact"/>
        <w:rPr>
          <w:rFonts w:hint="eastAsia" w:ascii="仿宋" w:hAnsi="仿宋" w:eastAsia="仿宋"/>
        </w:rPr>
      </w:pPr>
    </w:p>
    <w:p>
      <w:pPr>
        <w:pStyle w:val="5"/>
        <w:spacing w:line="600" w:lineRule="exact"/>
        <w:ind w:firstLine="635"/>
        <w:jc w:val="both"/>
        <w:rPr>
          <w:rFonts w:hint="eastAsia" w:ascii="仿宋" w:hAnsi="仿宋" w:eastAsia="仿宋" w:cs="仿宋"/>
        </w:rPr>
      </w:pPr>
      <w:r>
        <w:rPr>
          <w:rFonts w:hint="eastAsia" w:ascii="仿宋" w:hAnsi="仿宋" w:eastAsia="仿宋" w:cs="仿宋"/>
          <w:spacing w:val="4"/>
          <w:w w:val="95"/>
        </w:rPr>
        <w:t>根据《国家卫生健康委关于开展药品使用监测和临</w:t>
      </w:r>
      <w:r>
        <w:rPr>
          <w:rFonts w:hint="eastAsia" w:ascii="仿宋" w:hAnsi="仿宋" w:eastAsia="仿宋" w:cs="仿宋"/>
          <w:spacing w:val="-3"/>
        </w:rPr>
        <w:t>床综合评价工作的通知</w:t>
      </w:r>
      <w:r>
        <w:rPr>
          <w:rFonts w:hint="eastAsia" w:ascii="仿宋" w:hAnsi="仿宋" w:eastAsia="仿宋" w:cs="仿宋"/>
          <w:spacing w:val="-181"/>
        </w:rPr>
        <w:t>》</w:t>
      </w:r>
      <w:r>
        <w:rPr>
          <w:rFonts w:hint="eastAsia" w:ascii="仿宋" w:hAnsi="仿宋" w:eastAsia="仿宋" w:cs="仿宋"/>
        </w:rPr>
        <w:t>（</w:t>
      </w:r>
      <w:r>
        <w:rPr>
          <w:rFonts w:hint="eastAsia" w:ascii="仿宋" w:hAnsi="仿宋" w:eastAsia="仿宋" w:cs="仿宋"/>
          <w:spacing w:val="-5"/>
        </w:rPr>
        <w:t>国卫药政函〔</w:t>
      </w:r>
      <w:r>
        <w:rPr>
          <w:rFonts w:hint="eastAsia" w:ascii="仿宋" w:hAnsi="仿宋" w:eastAsia="仿宋" w:cs="仿宋"/>
        </w:rPr>
        <w:t>2019</w:t>
      </w:r>
      <w:r>
        <w:rPr>
          <w:rFonts w:hint="eastAsia" w:ascii="仿宋" w:hAnsi="仿宋" w:eastAsia="仿宋" w:cs="仿宋"/>
          <w:spacing w:val="-20"/>
        </w:rPr>
        <w:t>〕</w:t>
      </w:r>
      <w:r>
        <w:rPr>
          <w:rFonts w:hint="eastAsia" w:ascii="仿宋" w:hAnsi="仿宋" w:eastAsia="仿宋" w:cs="仿宋"/>
        </w:rPr>
        <w:t>80</w:t>
      </w:r>
      <w:r>
        <w:rPr>
          <w:rFonts w:hint="eastAsia" w:ascii="仿宋" w:hAnsi="仿宋" w:eastAsia="仿宋" w:cs="仿宋"/>
          <w:spacing w:val="-54"/>
        </w:rPr>
        <w:t xml:space="preserve"> 号</w:t>
      </w:r>
      <w:r>
        <w:rPr>
          <w:rFonts w:hint="eastAsia" w:ascii="仿宋" w:hAnsi="仿宋" w:eastAsia="仿宋" w:cs="仿宋"/>
          <w:spacing w:val="-20"/>
        </w:rPr>
        <w:t>）、</w:t>
      </w:r>
      <w:r>
        <w:rPr>
          <w:rFonts w:hint="eastAsia" w:ascii="仿宋" w:hAnsi="仿宋" w:eastAsia="仿宋" w:cs="仿宋"/>
          <w:spacing w:val="4"/>
        </w:rPr>
        <w:t>《国家卫生健康委办公厅关于规范开展药品临床综合评价工作的通知》（国卫办药政发[2021]16号）</w:t>
      </w:r>
      <w:r>
        <w:rPr>
          <w:rFonts w:hint="eastAsia" w:ascii="仿宋" w:hAnsi="仿宋" w:eastAsia="仿宋" w:cs="仿宋"/>
          <w:spacing w:val="-6"/>
        </w:rPr>
        <w:t>，为</w:t>
      </w:r>
      <w:r>
        <w:rPr>
          <w:rFonts w:hint="eastAsia" w:ascii="仿宋" w:hAnsi="仿宋" w:eastAsia="仿宋" w:cs="仿宋"/>
          <w:spacing w:val="-4"/>
        </w:rPr>
        <w:t>科学、持续开展药品临床综合评价工作，特制定本方案。</w:t>
      </w:r>
    </w:p>
    <w:p>
      <w:pPr>
        <w:pStyle w:val="5"/>
        <w:spacing w:line="600" w:lineRule="exact"/>
        <w:ind w:firstLine="640" w:firstLineChars="200"/>
        <w:rPr>
          <w:rFonts w:hint="eastAsia" w:ascii="黑体" w:hAnsi="黑体" w:eastAsia="黑体"/>
        </w:rPr>
      </w:pPr>
      <w:r>
        <w:rPr>
          <w:rFonts w:hint="eastAsia" w:ascii="黑体" w:hAnsi="黑体" w:eastAsia="黑体"/>
        </w:rPr>
        <w:t>一、指导思想</w:t>
      </w:r>
    </w:p>
    <w:p>
      <w:pPr>
        <w:pStyle w:val="5"/>
        <w:spacing w:line="600" w:lineRule="exact"/>
        <w:ind w:firstLine="635"/>
        <w:jc w:val="both"/>
        <w:rPr>
          <w:rFonts w:hint="eastAsia" w:ascii="仿宋" w:hAnsi="仿宋" w:eastAsia="仿宋" w:cs="仿宋"/>
        </w:rPr>
      </w:pPr>
      <w:r>
        <w:rPr>
          <w:rFonts w:hint="eastAsia" w:ascii="仿宋" w:hAnsi="仿宋" w:eastAsia="仿宋" w:cs="仿宋"/>
          <w:spacing w:val="4"/>
          <w:w w:val="95"/>
        </w:rPr>
        <w:t>以习近平新时代中国特色社会主义思想为指导，坚持新形</w:t>
      </w:r>
      <w:r>
        <w:rPr>
          <w:rFonts w:hint="eastAsia" w:ascii="仿宋" w:hAnsi="仿宋" w:eastAsia="仿宋" w:cs="仿宋"/>
        </w:rPr>
        <w:t>势下卫生健康工作方针，以人民健康为中心，以药品临床价值为导向，以国家基本药物为重点，坚持“以</w:t>
      </w:r>
      <w:r>
        <w:rPr>
          <w:rFonts w:hint="eastAsia" w:ascii="仿宋" w:hAnsi="仿宋" w:eastAsia="仿宋" w:cs="仿宋"/>
          <w:spacing w:val="4"/>
          <w:w w:val="95"/>
        </w:rPr>
        <w:t>需求导向、统筹协同、科学规范、公正透明”基本原则，</w:t>
      </w:r>
      <w:r>
        <w:rPr>
          <w:rFonts w:hint="eastAsia" w:ascii="仿宋" w:hAnsi="仿宋" w:eastAsia="仿宋" w:cs="仿宋"/>
        </w:rPr>
        <w:t>紧紧围绕重大疾病防治基本用药，利用真实世界数据和药品供应保障各环节信息，按照国家管理和技术指南、专家咨询论证制度、评估标准和评估质量控制指标体系，积极、稳妥开展药品实际应用综合分析，为完善国家基本药物制度，保障临床基本用药供应与合理使用提供循证证据和专业性卫生技术评估支撑</w:t>
      </w:r>
      <w:r>
        <w:rPr>
          <w:rFonts w:hint="eastAsia" w:ascii="仿宋" w:hAnsi="仿宋" w:eastAsia="仿宋" w:cs="仿宋"/>
          <w:spacing w:val="-3"/>
        </w:rPr>
        <w:t>。</w:t>
      </w:r>
    </w:p>
    <w:p>
      <w:pPr>
        <w:pStyle w:val="5"/>
        <w:spacing w:line="600" w:lineRule="exact"/>
        <w:ind w:firstLine="640" w:firstLineChars="200"/>
        <w:rPr>
          <w:rFonts w:hint="eastAsia" w:ascii="黑体" w:hAnsi="黑体" w:eastAsia="黑体"/>
        </w:rPr>
      </w:pPr>
      <w:r>
        <w:rPr>
          <w:rFonts w:hint="eastAsia" w:ascii="黑体" w:hAnsi="黑体" w:eastAsia="黑体"/>
        </w:rPr>
        <w:t>二、工作目标</w:t>
      </w:r>
    </w:p>
    <w:p>
      <w:pPr>
        <w:pStyle w:val="5"/>
        <w:spacing w:line="600" w:lineRule="exact"/>
        <w:ind w:firstLine="635"/>
        <w:jc w:val="both"/>
        <w:rPr>
          <w:rFonts w:hint="eastAsia" w:ascii="仿宋" w:hAnsi="仿宋" w:eastAsia="仿宋" w:cs="仿宋"/>
        </w:rPr>
      </w:pPr>
      <w:r>
        <w:rPr>
          <w:rFonts w:hint="eastAsia" w:ascii="仿宋" w:hAnsi="仿宋" w:eastAsia="仿宋" w:cs="仿宋"/>
        </w:rPr>
        <w:t>按照国家卫生健康委要求，整合省内各优势学科、优质资源，建立省药品临床综合评价组织体系；优先选择心血管、肿瘤、儿科、抗感染等疾病防治基本用药，围绕其</w:t>
      </w:r>
      <w:r>
        <w:rPr>
          <w:rFonts w:hint="eastAsia" w:ascii="仿宋" w:hAnsi="仿宋" w:eastAsia="仿宋" w:cs="仿宋"/>
          <w:spacing w:val="4"/>
          <w:w w:val="95"/>
        </w:rPr>
        <w:t>安全性、有效性、适宜性、经济性、创新性和可及性，</w:t>
      </w:r>
      <w:r>
        <w:rPr>
          <w:rFonts w:hint="eastAsia" w:ascii="仿宋" w:hAnsi="仿宋" w:eastAsia="仿宋" w:cs="仿宋"/>
        </w:rPr>
        <w:t>根据我省疾病谱和临床用药特点，遴选主题，开展综合评价；逐步建立覆盖主要病种和指导医疗机构药品采购、临床使用的综合评价长效工作机制</w:t>
      </w:r>
      <w:r>
        <w:rPr>
          <w:rFonts w:hint="eastAsia" w:ascii="仿宋" w:hAnsi="仿宋" w:eastAsia="仿宋" w:cs="仿宋"/>
          <w:spacing w:val="-3"/>
        </w:rPr>
        <w:t>。</w:t>
      </w:r>
    </w:p>
    <w:p>
      <w:pPr>
        <w:pStyle w:val="5"/>
        <w:spacing w:line="600" w:lineRule="exact"/>
        <w:ind w:firstLine="640" w:firstLineChars="200"/>
        <w:rPr>
          <w:rFonts w:hint="eastAsia" w:ascii="黑体" w:hAnsi="黑体" w:eastAsia="黑体"/>
        </w:rPr>
      </w:pPr>
      <w:r>
        <w:rPr>
          <w:rFonts w:hint="eastAsia" w:ascii="黑体" w:hAnsi="黑体" w:eastAsia="黑体"/>
        </w:rPr>
        <w:t>三、组织架构</w:t>
      </w:r>
    </w:p>
    <w:p>
      <w:pPr>
        <w:pStyle w:val="5"/>
        <w:spacing w:line="600" w:lineRule="exact"/>
        <w:ind w:firstLine="624" w:firstLineChars="200"/>
        <w:jc w:val="both"/>
        <w:rPr>
          <w:rFonts w:hint="eastAsia" w:ascii="仿宋" w:hAnsi="仿宋" w:eastAsia="仿宋" w:cs="仿宋"/>
          <w:spacing w:val="4"/>
          <w:w w:val="95"/>
        </w:rPr>
      </w:pPr>
      <w:r>
        <w:rPr>
          <w:rFonts w:hint="eastAsia" w:ascii="仿宋" w:hAnsi="仿宋" w:eastAsia="仿宋" w:cs="仿宋"/>
          <w:spacing w:val="4"/>
          <w:w w:val="95"/>
        </w:rPr>
        <w:t>（一）建立综合评价工作组织管理体系。成立以省卫生健康委分管领导为组长</w:t>
      </w:r>
      <w:r>
        <w:rPr>
          <w:rFonts w:hint="eastAsia" w:ascii="仿宋" w:hAnsi="仿宋" w:eastAsia="仿宋" w:cs="仿宋"/>
          <w:spacing w:val="-3"/>
          <w:w w:val="99"/>
        </w:rPr>
        <w:t>、省卫生健康委药政处负责人为副组长、省卫生健康委规信处、体改处、疾控处、医政处、基层卫生处、科教处负责人及药政处责任人为成员</w:t>
      </w:r>
      <w:r>
        <w:rPr>
          <w:rFonts w:hint="eastAsia" w:ascii="仿宋" w:hAnsi="仿宋" w:eastAsia="仿宋" w:cs="仿宋"/>
          <w:spacing w:val="4"/>
          <w:w w:val="95"/>
        </w:rPr>
        <w:t>的综合评价领导小组和运行管理机构</w:t>
      </w:r>
      <w:r>
        <w:rPr>
          <w:rFonts w:hint="eastAsia" w:ascii="仿宋" w:hAnsi="仿宋" w:eastAsia="仿宋" w:cs="仿宋"/>
          <w:spacing w:val="-3"/>
          <w:w w:val="99"/>
        </w:rPr>
        <w:t>。</w:t>
      </w:r>
      <w:r>
        <w:rPr>
          <w:rFonts w:hint="eastAsia" w:ascii="仿宋" w:hAnsi="仿宋" w:eastAsia="仿宋" w:cs="仿宋"/>
          <w:spacing w:val="4"/>
          <w:w w:val="95"/>
        </w:rPr>
        <w:t>负责统筹协调、组织开展综合评价工作，负责组建涵盖卫生技术评估、药物经济学</w:t>
      </w:r>
      <w:r>
        <w:rPr>
          <w:rFonts w:hint="eastAsia" w:ascii="仿宋" w:hAnsi="仿宋" w:eastAsia="仿宋" w:cs="仿宋"/>
          <w:color w:val="000000"/>
          <w:spacing w:val="4"/>
          <w:w w:val="95"/>
        </w:rPr>
        <w:t>、临床药学、临床医学、循证药学、循证医学、</w:t>
      </w:r>
      <w:r>
        <w:rPr>
          <w:rFonts w:hint="eastAsia" w:ascii="仿宋" w:hAnsi="仿宋" w:eastAsia="仿宋" w:cs="仿宋"/>
          <w:spacing w:val="4"/>
          <w:w w:val="95"/>
        </w:rPr>
        <w:t>流行病学、信息技术、卫生管理和行政管理等领域的专家委员会、建立专家库，实施动态管理，并建立专家委员会工作制度和运行机制、药品临床综合评价专家咨询论证制度。</w:t>
      </w:r>
      <w:r>
        <w:rPr>
          <w:rFonts w:hint="eastAsia" w:ascii="仿宋" w:hAnsi="仿宋" w:eastAsia="仿宋" w:cs="仿宋"/>
          <w:spacing w:val="-3"/>
          <w:w w:val="99"/>
        </w:rPr>
        <w:t>办公室设在省卫生健康委药政处，药政处负责人任办公室主任，具体负责药品临床综合评价工作的日常组织、协调和运行管理。</w:t>
      </w:r>
    </w:p>
    <w:p>
      <w:pPr>
        <w:pStyle w:val="5"/>
        <w:spacing w:line="600" w:lineRule="exact"/>
        <w:ind w:firstLine="624" w:firstLineChars="200"/>
        <w:jc w:val="both"/>
        <w:rPr>
          <w:rFonts w:hint="eastAsia" w:ascii="仿宋" w:hAnsi="仿宋" w:eastAsia="仿宋" w:cs="仿宋"/>
          <w:spacing w:val="-3"/>
          <w:w w:val="99"/>
        </w:rPr>
      </w:pPr>
      <w:r>
        <w:rPr>
          <w:rFonts w:hint="eastAsia" w:ascii="仿宋" w:hAnsi="仿宋" w:eastAsia="仿宋" w:cs="仿宋"/>
          <w:spacing w:val="4"/>
          <w:w w:val="95"/>
        </w:rPr>
        <w:t>（二）建立药品临床综合评价工作体系。发挥</w:t>
      </w:r>
      <w:r>
        <w:rPr>
          <w:rFonts w:hint="eastAsia" w:ascii="仿宋" w:hAnsi="仿宋" w:eastAsia="仿宋" w:cs="仿宋"/>
          <w:spacing w:val="-11"/>
          <w:w w:val="95"/>
        </w:rPr>
        <w:t>沈阳药科大学在药物经济学科上的全国领军优势，探索建立“辽宁省药品临床综合评价中心”（以下简称省评价中心）。各级各类（含部队）医疗机构自主申报，经省综合评价领导小组认定，组建心血管、</w:t>
      </w:r>
      <w:r>
        <w:rPr>
          <w:rFonts w:hint="eastAsia" w:ascii="仿宋" w:hAnsi="仿宋" w:eastAsia="仿宋" w:cs="仿宋"/>
          <w:spacing w:val="-7"/>
          <w:w w:val="95"/>
        </w:rPr>
        <w:t>抗肿瘤、抗感染、儿科、消化等专科</w:t>
      </w:r>
      <w:r>
        <w:rPr>
          <w:rFonts w:hint="eastAsia" w:ascii="仿宋" w:hAnsi="仿宋" w:eastAsia="仿宋" w:cs="仿宋"/>
          <w:color w:val="000000"/>
          <w:spacing w:val="-4"/>
          <w:w w:val="95"/>
        </w:rPr>
        <w:t>综合评价专业</w:t>
      </w:r>
      <w:r>
        <w:rPr>
          <w:rFonts w:hint="eastAsia" w:ascii="仿宋" w:hAnsi="仿宋" w:eastAsia="仿宋" w:cs="仿宋"/>
          <w:spacing w:val="-4"/>
          <w:w w:val="95"/>
        </w:rPr>
        <w:t>团队（以下简称专业团队）。每个专业团队为</w:t>
      </w:r>
      <w:r>
        <w:rPr>
          <w:rFonts w:hint="eastAsia" w:ascii="仿宋" w:hAnsi="仿宋" w:eastAsia="仿宋" w:cs="仿宋"/>
          <w:spacing w:val="-5"/>
          <w:w w:val="95"/>
        </w:rPr>
        <w:t>“</w:t>
      </w:r>
      <w:r>
        <w:rPr>
          <w:rFonts w:hint="eastAsia" w:ascii="仿宋" w:hAnsi="仿宋" w:eastAsia="仿宋" w:cs="仿宋"/>
          <w:spacing w:val="-3"/>
          <w:w w:val="95"/>
        </w:rPr>
        <w:t>1+N</w:t>
      </w:r>
      <w:r>
        <w:rPr>
          <w:rFonts w:hint="eastAsia" w:ascii="仿宋" w:hAnsi="仿宋" w:eastAsia="仿宋" w:cs="仿宋"/>
          <w:spacing w:val="-4"/>
          <w:w w:val="95"/>
        </w:rPr>
        <w:t>”工作模式，其中“1”为项目责任单位，“N”是项目责任单位根据需要选择的“N”家参与综合评价的各级医疗机构。省评价中心负责建立药品临床综合评价指标体系和多</w:t>
      </w:r>
      <w:r>
        <w:rPr>
          <w:rFonts w:hint="eastAsia" w:ascii="仿宋" w:hAnsi="仿宋" w:eastAsia="仿宋" w:cs="仿宋"/>
          <w:w w:val="95"/>
        </w:rPr>
        <w:t>维分析模型，负责</w:t>
      </w:r>
      <w:r>
        <w:rPr>
          <w:rFonts w:hint="eastAsia" w:ascii="仿宋" w:hAnsi="仿宋" w:eastAsia="仿宋" w:cs="仿宋"/>
          <w:spacing w:val="-7"/>
          <w:w w:val="95"/>
        </w:rPr>
        <w:t>培训和指导各专业团队科学、规范、有序开展综合评价工作，负责</w:t>
      </w:r>
      <w:r>
        <w:rPr>
          <w:rFonts w:hint="eastAsia" w:ascii="仿宋" w:hAnsi="仿宋" w:eastAsia="仿宋" w:cs="仿宋"/>
          <w:spacing w:val="4"/>
          <w:w w:val="95"/>
        </w:rPr>
        <w:t>评估结果的转化和应用</w:t>
      </w:r>
      <w:r>
        <w:rPr>
          <w:rFonts w:hint="eastAsia" w:ascii="仿宋" w:hAnsi="仿宋" w:eastAsia="仿宋" w:cs="仿宋"/>
          <w:spacing w:val="-3"/>
          <w:w w:val="99"/>
        </w:rPr>
        <w:t>。</w:t>
      </w:r>
    </w:p>
    <w:p>
      <w:pPr>
        <w:pStyle w:val="5"/>
        <w:spacing w:line="600" w:lineRule="exact"/>
        <w:ind w:firstLine="620" w:firstLineChars="200"/>
        <w:jc w:val="both"/>
        <w:rPr>
          <w:rFonts w:hint="eastAsia" w:ascii="仿宋" w:hAnsi="仿宋" w:eastAsia="仿宋" w:cs="仿宋"/>
          <w:spacing w:val="-3"/>
        </w:rPr>
      </w:pPr>
      <w:r>
        <w:rPr>
          <w:rFonts w:hint="eastAsia" w:ascii="仿宋" w:hAnsi="仿宋" w:eastAsia="仿宋" w:cs="仿宋"/>
          <w:spacing w:val="-3"/>
          <w:w w:val="99"/>
        </w:rPr>
        <w:t>（三）</w:t>
      </w:r>
      <w:r>
        <w:rPr>
          <w:rFonts w:hint="eastAsia" w:ascii="仿宋" w:hAnsi="仿宋" w:eastAsia="仿宋" w:cs="仿宋"/>
          <w:spacing w:val="4"/>
          <w:w w:val="95"/>
        </w:rPr>
        <w:t>建立药品临床综合评价质量监督管理体系。</w:t>
      </w:r>
      <w:r>
        <w:rPr>
          <w:rFonts w:hint="eastAsia" w:ascii="仿宋" w:hAnsi="仿宋" w:eastAsia="仿宋" w:cs="仿宋"/>
          <w:spacing w:val="-3"/>
          <w:w w:val="99"/>
        </w:rPr>
        <w:t>鼓励中国医科大学附属盛京医院等相关医疗机构探索开展药品临床综合评价质量监督管理。</w:t>
      </w:r>
      <w:r>
        <w:rPr>
          <w:rFonts w:hint="eastAsia" w:ascii="仿宋" w:hAnsi="仿宋" w:eastAsia="仿宋" w:cs="仿宋"/>
        </w:rPr>
        <w:t>按照国家管理指南、技术指南和评估、质控标</w:t>
      </w:r>
      <w:r>
        <w:rPr>
          <w:rFonts w:hint="eastAsia" w:ascii="仿宋" w:hAnsi="仿宋" w:eastAsia="仿宋" w:cs="仿宋"/>
          <w:spacing w:val="-6"/>
          <w:w w:val="95"/>
        </w:rPr>
        <w:t>准，制定我省药品临床综合评价质量控制工作流程和工作制度；</w:t>
      </w:r>
      <w:r>
        <w:rPr>
          <w:rFonts w:hint="eastAsia" w:ascii="仿宋" w:hAnsi="仿宋" w:eastAsia="仿宋" w:cs="仿宋"/>
        </w:rPr>
        <w:t>对药品临床综合评价工作进行质量控制和过程监督；建立质控</w:t>
      </w:r>
      <w:r>
        <w:rPr>
          <w:rFonts w:hint="eastAsia" w:ascii="仿宋" w:hAnsi="仿宋" w:eastAsia="仿宋" w:cs="仿宋"/>
          <w:spacing w:val="-3"/>
        </w:rPr>
        <w:t>结果反馈机制，保障药品临床综合评价质量。</w:t>
      </w:r>
    </w:p>
    <w:p>
      <w:pPr>
        <w:pStyle w:val="5"/>
        <w:spacing w:line="600" w:lineRule="exact"/>
        <w:ind w:firstLine="624" w:firstLineChars="200"/>
        <w:jc w:val="both"/>
        <w:rPr>
          <w:rFonts w:hint="eastAsia" w:ascii="仿宋" w:hAnsi="仿宋" w:eastAsia="仿宋" w:cs="仿宋"/>
          <w:spacing w:val="-3"/>
        </w:rPr>
      </w:pPr>
      <w:r>
        <w:rPr>
          <w:rFonts w:hint="eastAsia" w:ascii="仿宋" w:hAnsi="仿宋" w:eastAsia="仿宋" w:cs="仿宋"/>
          <w:spacing w:val="4"/>
          <w:w w:val="95"/>
        </w:rPr>
        <w:t>（四）建立药品临床综合评价信息服务体系。依托辽宁省卫生健康服务中心建立“辽宁省药品</w:t>
      </w:r>
      <w:r>
        <w:rPr>
          <w:rFonts w:hint="eastAsia" w:ascii="仿宋" w:hAnsi="仿宋" w:eastAsia="仿宋" w:cs="仿宋"/>
        </w:rPr>
        <w:t>临床综合评价信息中心</w:t>
      </w:r>
      <w:r>
        <w:rPr>
          <w:rFonts w:hint="eastAsia" w:ascii="仿宋" w:hAnsi="仿宋" w:eastAsia="仿宋" w:cs="仿宋"/>
          <w:spacing w:val="4"/>
          <w:w w:val="95"/>
        </w:rPr>
        <w:t>”（以下简称</w:t>
      </w:r>
      <w:r>
        <w:rPr>
          <w:rFonts w:hint="eastAsia" w:ascii="仿宋" w:hAnsi="仿宋" w:eastAsia="仿宋" w:cs="仿宋"/>
          <w:color w:val="000000"/>
          <w:spacing w:val="4"/>
          <w:w w:val="95"/>
        </w:rPr>
        <w:t>省评价信息中心</w:t>
      </w:r>
      <w:r>
        <w:rPr>
          <w:rFonts w:hint="eastAsia" w:ascii="仿宋" w:hAnsi="仿宋" w:eastAsia="仿宋" w:cs="仿宋"/>
          <w:spacing w:val="4"/>
          <w:w w:val="95"/>
        </w:rPr>
        <w:t>）</w:t>
      </w:r>
      <w:r>
        <w:rPr>
          <w:rFonts w:hint="eastAsia" w:ascii="仿宋" w:hAnsi="仿宋" w:eastAsia="仿宋" w:cs="仿宋"/>
        </w:rPr>
        <w:t>。根据评价工作的业务需求，基于全民健康信息平台开发建设辽宁省药品临床综合评价应用系统，发布数据接口标准，统一医疗机构间疾病编码、药品编码与全民健康信息平台疾病ICD编码和药品 YPID编码，实现与国家全民健康信息平台的互联互通。按省卫生健康委要求，指导医疗机构实现与省平台的对接和数据上报。负责药品综合评价应用系统的网络、存储等日常管理与运行维护、配合厂商进行系统更新，确保与国家药品使用监测系统和医疗机构药品信息管理系统的互联互通。</w:t>
      </w:r>
      <w:r>
        <w:rPr>
          <w:rFonts w:hint="eastAsia" w:ascii="仿宋" w:hAnsi="仿宋" w:eastAsia="仿宋" w:cs="仿宋"/>
          <w:spacing w:val="-12"/>
        </w:rPr>
        <w:t>负责药品综合评价应用系统的网络、存储等日常管理与运行维护，配合厂商进行系统更新，确保与国家药品使用监测系统和医疗机构药品信息管理系统的互联互通，</w:t>
      </w:r>
      <w:r>
        <w:rPr>
          <w:rFonts w:hint="eastAsia" w:ascii="仿宋" w:hAnsi="仿宋" w:eastAsia="仿宋" w:cs="仿宋"/>
        </w:rPr>
        <w:t>为药品临床综合评价团队提供数</w:t>
      </w:r>
      <w:r>
        <w:rPr>
          <w:rFonts w:hint="eastAsia" w:ascii="仿宋" w:hAnsi="仿宋" w:eastAsia="仿宋" w:cs="仿宋"/>
          <w:spacing w:val="-3"/>
        </w:rPr>
        <w:t>据处理和统计学等相关技术支持和</w:t>
      </w:r>
      <w:r>
        <w:rPr>
          <w:rFonts w:hint="eastAsia" w:ascii="仿宋" w:hAnsi="仿宋" w:eastAsia="仿宋" w:cs="仿宋"/>
        </w:rPr>
        <w:t>信息支撑</w:t>
      </w:r>
      <w:r>
        <w:rPr>
          <w:rFonts w:hint="eastAsia" w:ascii="仿宋" w:hAnsi="仿宋" w:eastAsia="仿宋" w:cs="仿宋"/>
          <w:spacing w:val="-3"/>
        </w:rPr>
        <w:t>。</w:t>
      </w:r>
    </w:p>
    <w:p>
      <w:pPr>
        <w:pStyle w:val="5"/>
        <w:spacing w:line="600" w:lineRule="exact"/>
        <w:ind w:firstLine="640" w:firstLineChars="200"/>
        <w:rPr>
          <w:rFonts w:hint="eastAsia" w:ascii="黑体" w:hAnsi="黑体" w:eastAsia="黑体"/>
        </w:rPr>
      </w:pPr>
      <w:r>
        <w:rPr>
          <w:rFonts w:hint="eastAsia" w:ascii="黑体" w:hAnsi="黑体" w:eastAsia="黑体"/>
        </w:rPr>
        <w:t>四、主要任务</w:t>
      </w:r>
    </w:p>
    <w:p>
      <w:pPr>
        <w:pStyle w:val="5"/>
        <w:spacing w:line="600" w:lineRule="exact"/>
        <w:ind w:firstLine="656" w:firstLineChars="200"/>
        <w:jc w:val="both"/>
        <w:rPr>
          <w:rFonts w:hint="eastAsia" w:ascii="仿宋" w:hAnsi="仿宋" w:eastAsia="仿宋" w:cs="仿宋"/>
        </w:rPr>
      </w:pPr>
      <w:r>
        <w:rPr>
          <w:rFonts w:hint="eastAsia" w:ascii="仿宋" w:hAnsi="仿宋" w:eastAsia="仿宋" w:cs="仿宋"/>
          <w:spacing w:val="4"/>
        </w:rPr>
        <w:t>（一）主题遴选。省</w:t>
      </w:r>
      <w:r>
        <w:rPr>
          <w:rFonts w:hint="eastAsia" w:ascii="仿宋" w:hAnsi="仿宋" w:eastAsia="仿宋" w:cs="仿宋"/>
        </w:rPr>
        <w:t>评价中心组织各专业团队申报评价主题，并对申报主题进行初步遴选。省综合评价专家委员会负责对省评价中心提交的初步遴选主题进行综合评审，遴选、确定主题。确定评价主题应综合考虑</w:t>
      </w:r>
      <w:r>
        <w:rPr>
          <w:rFonts w:hint="eastAsia" w:ascii="仿宋" w:hAnsi="仿宋" w:eastAsia="仿宋" w:cs="仿宋"/>
          <w:spacing w:val="-6"/>
          <w:w w:val="95"/>
        </w:rPr>
        <w:t>重大疾病防治的</w:t>
      </w:r>
      <w:r>
        <w:rPr>
          <w:rFonts w:hint="eastAsia" w:ascii="仿宋" w:hAnsi="仿宋" w:eastAsia="仿宋" w:cs="仿宋"/>
        </w:rPr>
        <w:t>国家基本药物和特殊人群用药，用量大、费用高、安全性和有效性不稳定等因素。</w:t>
      </w:r>
    </w:p>
    <w:p>
      <w:pPr>
        <w:pStyle w:val="5"/>
        <w:spacing w:line="600" w:lineRule="exact"/>
        <w:ind w:firstLine="624" w:firstLineChars="200"/>
        <w:jc w:val="both"/>
        <w:rPr>
          <w:rFonts w:hint="eastAsia" w:ascii="仿宋" w:hAnsi="仿宋" w:eastAsia="仿宋" w:cs="仿宋"/>
          <w:w w:val="95"/>
        </w:rPr>
      </w:pPr>
      <w:r>
        <w:rPr>
          <w:rFonts w:hint="eastAsia" w:ascii="仿宋" w:hAnsi="仿宋" w:eastAsia="仿宋" w:cs="仿宋"/>
          <w:spacing w:val="4"/>
          <w:w w:val="95"/>
        </w:rPr>
        <w:t>（二）评估内容。收集、分析</w:t>
      </w:r>
      <w:r>
        <w:rPr>
          <w:rFonts w:hint="eastAsia" w:ascii="仿宋" w:hAnsi="仿宋" w:eastAsia="仿宋" w:cs="仿宋"/>
        </w:rPr>
        <w:t>国家药物政策关键环节，对照实际，</w:t>
      </w:r>
      <w:r>
        <w:rPr>
          <w:rFonts w:hint="eastAsia" w:ascii="仿宋" w:hAnsi="仿宋" w:eastAsia="仿宋" w:cs="仿宋"/>
          <w:spacing w:val="4"/>
          <w:w w:val="95"/>
        </w:rPr>
        <w:t>按照国家综合评价管理指南和技术指南要求，围绕药品的安全性、有效性、适宜性，兼顾经济性、创新性和可及性，</w:t>
      </w:r>
      <w:r>
        <w:rPr>
          <w:rFonts w:hint="eastAsia" w:ascii="仿宋" w:hAnsi="仿宋" w:eastAsia="仿宋" w:cs="仿宋"/>
        </w:rPr>
        <w:t>设计相应指标体系开展政策研究和成效评</w:t>
      </w:r>
      <w:r>
        <w:rPr>
          <w:rFonts w:hint="eastAsia" w:ascii="仿宋" w:hAnsi="仿宋" w:eastAsia="仿宋" w:cs="仿宋"/>
          <w:w w:val="95"/>
        </w:rPr>
        <w:t>估，提出完善药品保障供应的政策建议，为科学决策和指导临床用药提供依据。</w:t>
      </w:r>
    </w:p>
    <w:p>
      <w:pPr>
        <w:pStyle w:val="5"/>
        <w:spacing w:line="600" w:lineRule="exact"/>
        <w:ind w:firstLine="640" w:firstLineChars="200"/>
        <w:jc w:val="both"/>
        <w:rPr>
          <w:rFonts w:hint="eastAsia" w:ascii="仿宋" w:hAnsi="仿宋" w:eastAsia="仿宋" w:cs="仿宋"/>
          <w:spacing w:val="-3"/>
        </w:rPr>
      </w:pPr>
      <w:r>
        <w:rPr>
          <w:rFonts w:hint="eastAsia" w:ascii="仿宋" w:hAnsi="仿宋" w:eastAsia="仿宋"/>
        </w:rPr>
        <w:t>（三）评估方法。融合循证医学、流行病学、临床医学、临床药学、药物经济学和卫生技术评估等知识体系，</w:t>
      </w:r>
      <w:r>
        <w:rPr>
          <w:rFonts w:hint="eastAsia" w:ascii="仿宋" w:hAnsi="仿宋" w:eastAsia="仿宋" w:cs="仿宋"/>
        </w:rPr>
        <w:t>综合利用全民健康信</w:t>
      </w:r>
      <w:r>
        <w:rPr>
          <w:rFonts w:hint="eastAsia" w:ascii="仿宋" w:hAnsi="仿宋" w:eastAsia="仿宋" w:cs="仿宋"/>
          <w:spacing w:val="-5"/>
          <w:w w:val="95"/>
        </w:rPr>
        <w:t>息平台数据、国内外文献资料证据和药品临床实践“真实世界”</w:t>
      </w:r>
      <w:r>
        <w:rPr>
          <w:rFonts w:hint="eastAsia" w:ascii="仿宋" w:hAnsi="仿宋" w:eastAsia="仿宋" w:cs="仿宋"/>
        </w:rPr>
        <w:t>数据等大数据资源，通过快速评估和全面评估相结合方式，进行定性、定量数据整合分析，形成药</w:t>
      </w:r>
      <w:r>
        <w:rPr>
          <w:rFonts w:hint="eastAsia" w:ascii="仿宋" w:hAnsi="仿宋" w:eastAsia="仿宋" w:cs="仿宋"/>
          <w:spacing w:val="-3"/>
        </w:rPr>
        <w:t>品综合价值判断依据。</w:t>
      </w:r>
      <w:r>
        <w:rPr>
          <w:rFonts w:hint="eastAsia" w:ascii="仿宋" w:hAnsi="仿宋" w:eastAsia="仿宋" w:cs="仿宋"/>
          <w:spacing w:val="-4"/>
          <w:w w:val="95"/>
        </w:rPr>
        <w:t>对于同一个主题，根据病种和品种的</w:t>
      </w:r>
      <w:r>
        <w:rPr>
          <w:rFonts w:hint="eastAsia" w:ascii="仿宋" w:hAnsi="仿宋" w:eastAsia="仿宋" w:cs="仿宋"/>
          <w:spacing w:val="-3"/>
        </w:rPr>
        <w:t>重要程度可以组成两个及以上团队进行平行性研究和评价。</w:t>
      </w:r>
    </w:p>
    <w:p>
      <w:pPr>
        <w:pStyle w:val="5"/>
        <w:spacing w:line="600" w:lineRule="exact"/>
        <w:ind w:firstLine="640" w:firstLineChars="200"/>
        <w:rPr>
          <w:rFonts w:hint="eastAsia" w:ascii="仿宋" w:hAnsi="仿宋" w:eastAsia="仿宋"/>
        </w:rPr>
      </w:pPr>
      <w:r>
        <w:rPr>
          <w:rFonts w:hint="eastAsia" w:ascii="仿宋" w:hAnsi="仿宋" w:eastAsia="仿宋"/>
        </w:rPr>
        <w:t>（四）实施综合评价。各专业团队依据确定的主题和省评价中心确定的技术标准和规程、省质量监督管理中心确定的质控标准，在项目责任单位主持下具体实施综合评价工作。主要流程包括：先期评价，开展文献资料和专家意见调查；中期论证，讨论相关证据是否足以支持评价结果；再次评价，在数据共享服务平台收集回顾性个体病历数据；追加评价，在医疗机构开展对照研究，收集前瞻性个体病例数据；基于综合评价分析数据，提出评价结果。</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质量评审。在每一个药品综合评价完成后，项目责任单位负责组织开展质量自评，通过质量自评的评价结果报省质量监督管理中心。项目责任单位连同评价结果及省质量监督管理中心出具的质控报告报省综评专家委员会审核确认，经省评价中心报国家和省综合评价工作管理部门复审和备案。</w:t>
      </w:r>
    </w:p>
    <w:p>
      <w:pPr>
        <w:pStyle w:val="5"/>
        <w:spacing w:line="600" w:lineRule="exact"/>
        <w:ind w:firstLine="640" w:firstLineChars="200"/>
        <w:rPr>
          <w:rFonts w:hint="eastAsia" w:ascii="黑体" w:hAnsi="黑体" w:eastAsia="黑体"/>
        </w:rPr>
      </w:pPr>
      <w:r>
        <w:rPr>
          <w:rFonts w:hint="eastAsia" w:ascii="黑体" w:hAnsi="黑体" w:eastAsia="黑体"/>
        </w:rPr>
        <w:t>五、评价结果的发布和应用</w:t>
      </w:r>
    </w:p>
    <w:p>
      <w:pPr>
        <w:pStyle w:val="5"/>
        <w:spacing w:line="600" w:lineRule="exact"/>
        <w:ind w:firstLine="624" w:firstLineChars="200"/>
        <w:jc w:val="both"/>
        <w:rPr>
          <w:rFonts w:hint="eastAsia" w:ascii="仿宋" w:hAnsi="仿宋" w:eastAsia="仿宋" w:cs="仿宋"/>
        </w:rPr>
      </w:pPr>
      <w:r>
        <w:rPr>
          <w:rFonts w:hint="eastAsia" w:ascii="仿宋" w:hAnsi="仿宋" w:eastAsia="仿宋" w:cs="仿宋"/>
          <w:spacing w:val="4"/>
          <w:w w:val="95"/>
        </w:rPr>
        <w:t>（一）发布</w:t>
      </w:r>
      <w:r>
        <w:rPr>
          <w:rFonts w:hint="eastAsia" w:ascii="仿宋" w:hAnsi="仿宋" w:eastAsia="仿宋" w:cs="仿宋"/>
          <w:spacing w:val="7"/>
          <w:w w:val="95"/>
        </w:rPr>
        <w:t>。</w:t>
      </w:r>
      <w:r>
        <w:rPr>
          <w:rFonts w:hint="eastAsia" w:ascii="仿宋" w:hAnsi="仿宋" w:eastAsia="仿宋" w:cs="仿宋"/>
          <w:spacing w:val="3"/>
          <w:w w:val="95"/>
        </w:rPr>
        <w:t>国家分配遴选主题的评价结果，由省卫</w:t>
      </w:r>
      <w:r>
        <w:rPr>
          <w:rFonts w:hint="eastAsia" w:ascii="仿宋" w:hAnsi="仿宋" w:eastAsia="仿宋" w:cs="仿宋"/>
        </w:rPr>
        <w:t>生健康委上报国家卫生健康委发布；省内自主遴选主题的评价</w:t>
      </w:r>
      <w:r>
        <w:rPr>
          <w:rFonts w:hint="eastAsia" w:ascii="仿宋" w:hAnsi="仿宋" w:eastAsia="仿宋" w:cs="仿宋"/>
          <w:spacing w:val="-3"/>
        </w:rPr>
        <w:t>结果，报国家卫生健康委备案后，由省卫生健康委发布。</w:t>
      </w:r>
    </w:p>
    <w:p>
      <w:pPr>
        <w:pStyle w:val="5"/>
        <w:spacing w:line="600" w:lineRule="exact"/>
        <w:ind w:firstLine="656" w:firstLineChars="200"/>
        <w:jc w:val="both"/>
        <w:rPr>
          <w:rFonts w:hint="eastAsia" w:ascii="仿宋" w:hAnsi="仿宋" w:eastAsia="仿宋" w:cs="仿宋"/>
        </w:rPr>
      </w:pPr>
      <w:r>
        <w:rPr>
          <w:rFonts w:hint="eastAsia" w:ascii="仿宋" w:hAnsi="仿宋" w:eastAsia="仿宋" w:cs="仿宋"/>
          <w:spacing w:val="4"/>
        </w:rPr>
        <w:t>（二）应用。</w:t>
      </w:r>
      <w:r>
        <w:rPr>
          <w:rFonts w:hint="eastAsia" w:ascii="仿宋" w:hAnsi="仿宋" w:eastAsia="仿宋"/>
        </w:rPr>
        <w:t>省评价中心组织、指导完成评价结果在完善药物政策、指导医疗机构制定药物目录和临床合理用药等方面的转化。要</w:t>
      </w:r>
      <w:r>
        <w:rPr>
          <w:rFonts w:hint="eastAsia" w:ascii="仿宋" w:hAnsi="仿宋" w:eastAsia="仿宋" w:cs="仿宋"/>
          <w:spacing w:val="4"/>
        </w:rPr>
        <w:t>突出</w:t>
      </w:r>
      <w:r>
        <w:rPr>
          <w:rFonts w:hint="eastAsia" w:ascii="仿宋" w:hAnsi="仿宋" w:eastAsia="仿宋" w:cs="仿宋"/>
        </w:rPr>
        <w:t>药品临床价值，提出国家基本药物、鼓励仿制药品与鼓励研发</w:t>
      </w:r>
      <w:r>
        <w:rPr>
          <w:rFonts w:hint="eastAsia" w:ascii="仿宋" w:hAnsi="仿宋" w:eastAsia="仿宋" w:cs="仿宋"/>
          <w:spacing w:val="-5"/>
          <w:w w:val="95"/>
        </w:rPr>
        <w:t>申报儿童药品遴选和动态调整的建议；优化医疗机构用药结构，</w:t>
      </w:r>
      <w:r>
        <w:rPr>
          <w:rFonts w:hint="eastAsia" w:ascii="仿宋" w:hAnsi="仿宋" w:eastAsia="仿宋" w:cs="仿宋"/>
        </w:rPr>
        <w:t>指导省内医疗机构药品配备和采购目录的制定与上下级医疗机构用药衔接。推进以药品综合评价结果完善医疗机构药品采购目录、合理用药、开展药学服务、控制不合理药品费用支出等政策措施。同时，以药品临床综合评价结</w:t>
      </w:r>
      <w:r>
        <w:rPr>
          <w:rFonts w:hint="eastAsia" w:ascii="仿宋" w:hAnsi="仿宋" w:eastAsia="仿宋" w:cs="仿宋"/>
          <w:spacing w:val="-3"/>
        </w:rPr>
        <w:t>果</w:t>
      </w:r>
      <w:r>
        <w:rPr>
          <w:rFonts w:hint="eastAsia" w:ascii="仿宋" w:hAnsi="仿宋" w:eastAsia="仿宋" w:cs="仿宋"/>
        </w:rPr>
        <w:t>促进</w:t>
      </w:r>
      <w:r>
        <w:rPr>
          <w:rFonts w:hint="eastAsia" w:ascii="仿宋" w:hAnsi="仿宋" w:eastAsia="仿宋" w:cs="仿宋"/>
          <w:spacing w:val="-3"/>
        </w:rPr>
        <w:t>医联体、医共体改革。</w:t>
      </w:r>
    </w:p>
    <w:p>
      <w:pPr>
        <w:pStyle w:val="5"/>
        <w:spacing w:line="600" w:lineRule="exact"/>
        <w:ind w:firstLine="640" w:firstLineChars="200"/>
        <w:rPr>
          <w:rFonts w:hint="eastAsia" w:ascii="黑体" w:hAnsi="黑体" w:eastAsia="黑体"/>
        </w:rPr>
      </w:pPr>
      <w:r>
        <w:rPr>
          <w:rFonts w:hint="eastAsia" w:ascii="黑体" w:hAnsi="黑体" w:eastAsia="黑体"/>
        </w:rPr>
        <w:t>六、组织保障</w:t>
      </w:r>
    </w:p>
    <w:p>
      <w:pPr>
        <w:pStyle w:val="5"/>
        <w:spacing w:line="600" w:lineRule="exact"/>
        <w:ind w:firstLine="624" w:firstLineChars="200"/>
        <w:jc w:val="both"/>
        <w:rPr>
          <w:rFonts w:hint="eastAsia" w:ascii="仿宋" w:hAnsi="仿宋" w:eastAsia="仿宋" w:cs="仿宋"/>
        </w:rPr>
      </w:pPr>
      <w:r>
        <w:rPr>
          <w:rFonts w:hint="eastAsia" w:ascii="仿宋" w:hAnsi="仿宋" w:eastAsia="仿宋" w:cs="仿宋"/>
          <w:spacing w:val="4"/>
          <w:w w:val="95"/>
        </w:rPr>
        <w:t xml:space="preserve">（一）切实加强组织领导。要加强对药品临床综合评价工 </w:t>
      </w:r>
      <w:r>
        <w:rPr>
          <w:rFonts w:hint="eastAsia" w:ascii="仿宋" w:hAnsi="仿宋" w:eastAsia="仿宋" w:cs="仿宋"/>
        </w:rPr>
        <w:t>作的领导，各中心、各项目责任单位及各专业团队要建立临床综合评价工作领导小组。组长由单位主要领导担任，日常工作负责人由药物经济学、药学、卫生技术评估方面有一定影响力、富有经验、成果显著的具有高级技术职称的人员担任，成员由3-5名的临床药学和/或药学、医务或校务、临床医学、护理、信息技术等部门负责人组成。建立工作机制，明确各部门职责分工，制定实施方案、技术方案、项目质控操作规程</w:t>
      </w:r>
      <w:r>
        <w:rPr>
          <w:rStyle w:val="10"/>
          <w:rFonts w:hint="eastAsia" w:ascii="仿宋" w:hAnsi="仿宋" w:eastAsia="仿宋" w:cs="Times New Roman"/>
          <w:sz w:val="32"/>
          <w:szCs w:val="32"/>
        </w:rPr>
        <w:t>，</w:t>
      </w:r>
      <w:r>
        <w:rPr>
          <w:rFonts w:hint="eastAsia" w:ascii="仿宋" w:hAnsi="仿宋" w:eastAsia="仿宋" w:cs="仿宋"/>
        </w:rPr>
        <w:t>加强人员培训，有序规范推进药品临床综合评价工作，</w:t>
      </w:r>
      <w:r>
        <w:rPr>
          <w:rStyle w:val="10"/>
          <w:rFonts w:hint="eastAsia" w:ascii="仿宋" w:hAnsi="仿宋" w:eastAsia="仿宋" w:cs="Times New Roman"/>
          <w:sz w:val="32"/>
          <w:szCs w:val="32"/>
        </w:rPr>
        <w:t>定期撰写评价报告向省评价中心报告工作进展</w:t>
      </w:r>
      <w:r>
        <w:rPr>
          <w:rFonts w:hint="eastAsia" w:ascii="仿宋" w:hAnsi="仿宋" w:eastAsia="仿宋" w:cs="仿宋"/>
        </w:rPr>
        <w:t>。各中心、各项目责任单位要做好进度控制和风险管控，协调解决实际工作中遇到的问题，有重大问题随时上报反馈，</w:t>
      </w:r>
      <w:r>
        <w:rPr>
          <w:rFonts w:hint="eastAsia" w:ascii="仿宋" w:hAnsi="仿宋" w:eastAsia="仿宋" w:cs="仿宋"/>
          <w:spacing w:val="-3"/>
        </w:rPr>
        <w:t>未经授权不得对外发布和泄露相关信息。</w:t>
      </w:r>
    </w:p>
    <w:p>
      <w:pPr>
        <w:pStyle w:val="5"/>
        <w:spacing w:line="600" w:lineRule="exact"/>
        <w:ind w:firstLine="624" w:firstLineChars="200"/>
        <w:jc w:val="both"/>
        <w:rPr>
          <w:rFonts w:hint="eastAsia" w:ascii="仿宋" w:hAnsi="仿宋" w:eastAsia="仿宋" w:cs="仿宋"/>
          <w:spacing w:val="4"/>
          <w:w w:val="95"/>
        </w:rPr>
      </w:pPr>
      <w:r>
        <w:rPr>
          <w:rFonts w:hint="eastAsia" w:ascii="仿宋" w:hAnsi="仿宋" w:eastAsia="仿宋" w:cs="仿宋"/>
          <w:spacing w:val="4"/>
          <w:w w:val="95"/>
        </w:rPr>
        <w:t>（二）建立健全保障机制。要规范管理和使用政府专项资金，提高专项资金的使用效率。资金缺口部分可多渠道社会筹资，但不得因社会筹资影响评价质量和科学性。</w:t>
      </w:r>
    </w:p>
    <w:p>
      <w:pPr>
        <w:pStyle w:val="5"/>
        <w:spacing w:line="600" w:lineRule="exact"/>
        <w:ind w:firstLine="624" w:firstLineChars="200"/>
        <w:jc w:val="both"/>
        <w:rPr>
          <w:rFonts w:hint="eastAsia" w:ascii="仿宋" w:hAnsi="仿宋" w:eastAsia="仿宋" w:cs="仿宋"/>
        </w:rPr>
      </w:pPr>
      <w:r>
        <w:rPr>
          <w:rFonts w:hint="eastAsia" w:ascii="仿宋" w:hAnsi="仿宋" w:eastAsia="仿宋" w:cs="仿宋"/>
          <w:spacing w:val="4"/>
          <w:w w:val="95"/>
        </w:rPr>
        <w:t>（三）强化数据信息支撑。充分</w:t>
      </w:r>
      <w:r>
        <w:rPr>
          <w:rFonts w:hint="eastAsia" w:ascii="仿宋" w:hAnsi="仿宋" w:eastAsia="仿宋" w:cs="仿宋"/>
        </w:rPr>
        <w:t>发挥全民健康信息平台、</w:t>
      </w:r>
      <w:r>
        <w:rPr>
          <w:rFonts w:hint="eastAsia" w:ascii="仿宋" w:hAnsi="仿宋" w:eastAsia="仿宋" w:cs="仿宋"/>
          <w:spacing w:val="-4"/>
        </w:rPr>
        <w:t>省药品集中采购平台</w:t>
      </w:r>
      <w:r>
        <w:rPr>
          <w:rFonts w:hint="eastAsia" w:ascii="仿宋" w:hAnsi="仿宋" w:eastAsia="仿宋" w:cs="仿宋"/>
        </w:rPr>
        <w:t>数据资源优势，</w:t>
      </w:r>
      <w:r>
        <w:rPr>
          <w:rFonts w:hint="eastAsia" w:ascii="仿宋" w:hAnsi="仿宋" w:eastAsia="仿宋" w:cs="仿宋"/>
          <w:spacing w:val="-4"/>
        </w:rPr>
        <w:t>推进两平台与各医疗机构</w:t>
      </w:r>
      <w:r>
        <w:rPr>
          <w:rFonts w:hint="eastAsia" w:ascii="仿宋" w:hAnsi="仿宋" w:eastAsia="仿宋" w:cs="仿宋"/>
        </w:rPr>
        <w:t>HIS</w:t>
      </w:r>
      <w:r>
        <w:rPr>
          <w:rFonts w:hint="eastAsia" w:ascii="仿宋" w:hAnsi="仿宋" w:eastAsia="仿宋" w:cs="仿宋"/>
          <w:spacing w:val="-6"/>
        </w:rPr>
        <w:t>系统数据的互联、</w:t>
      </w:r>
      <w:r>
        <w:rPr>
          <w:rFonts w:hint="eastAsia" w:ascii="仿宋" w:hAnsi="仿宋" w:eastAsia="仿宋" w:cs="仿宋"/>
        </w:rPr>
        <w:t>共享，构建省药品临床综合评价数据支撑网络体系，确保数据</w:t>
      </w:r>
      <w:r>
        <w:rPr>
          <w:rFonts w:hint="eastAsia" w:ascii="仿宋" w:hAnsi="仿宋" w:eastAsia="仿宋" w:cs="仿宋"/>
          <w:spacing w:val="-3"/>
        </w:rPr>
        <w:t>在各个来源层面的一致性、完整性和可追溯性。</w:t>
      </w:r>
    </w:p>
    <w:p>
      <w:pPr>
        <w:pStyle w:val="5"/>
        <w:spacing w:line="600" w:lineRule="exact"/>
        <w:ind w:firstLine="624" w:firstLineChars="200"/>
        <w:jc w:val="both"/>
        <w:rPr>
          <w:rFonts w:hint="eastAsia" w:ascii="仿宋" w:hAnsi="仿宋" w:eastAsia="仿宋"/>
        </w:rPr>
      </w:pPr>
      <w:r>
        <w:rPr>
          <w:rFonts w:hint="eastAsia" w:ascii="仿宋" w:hAnsi="仿宋" w:eastAsia="仿宋" w:cs="仿宋"/>
          <w:spacing w:val="4"/>
          <w:w w:val="95"/>
        </w:rPr>
        <w:t>（四）保障数据信息安全。按照“谁主管、谁负责，谁授</w:t>
      </w:r>
      <w:r>
        <w:rPr>
          <w:rFonts w:hint="eastAsia" w:ascii="仿宋" w:hAnsi="仿宋" w:eastAsia="仿宋" w:cs="仿宋"/>
        </w:rPr>
        <w:t>权、谁负责，谁使用、谁负责”的原则，加强药品临床综合评价过程中的数据采集、存储、挖掘、应用、运营、传输等环节管理，切实保障数据安全。各中心、各项目责任单位要建立健全数据安全管理制度、操作规程和技术规范，严格执行患者隐私保护和国家有关保密规定，构建可信的网络安全环境。任何单位和个人不得利用工作便利及非法手段获取有关数据，不得擅自利用和发</w:t>
      </w:r>
      <w:r>
        <w:rPr>
          <w:rFonts w:hint="eastAsia" w:ascii="仿宋" w:hAnsi="仿宋" w:eastAsia="仿宋" w:cs="仿宋"/>
          <w:spacing w:val="-3"/>
        </w:rPr>
        <w:t>布未经授权或超出授权范围的数据。</w:t>
      </w:r>
    </w:p>
    <w:p>
      <w:pPr>
        <w:pStyle w:val="5"/>
        <w:tabs>
          <w:tab w:val="left" w:pos="1622"/>
        </w:tabs>
        <w:spacing w:line="600" w:lineRule="exact"/>
        <w:rPr>
          <w:rFonts w:hint="eastAsia" w:ascii="仿宋" w:hAnsi="仿宋" w:eastAsia="仿宋"/>
        </w:rPr>
      </w:pPr>
    </w:p>
    <w:p>
      <w:pPr>
        <w:pStyle w:val="5"/>
        <w:tabs>
          <w:tab w:val="left" w:pos="1622"/>
        </w:tabs>
        <w:spacing w:line="600" w:lineRule="exact"/>
        <w:ind w:firstLine="640" w:firstLineChars="200"/>
        <w:rPr>
          <w:rFonts w:hint="eastAsia" w:ascii="仿宋" w:hAnsi="仿宋" w:eastAsia="仿宋"/>
        </w:rPr>
      </w:pPr>
      <w:r>
        <w:rPr>
          <w:rFonts w:hint="eastAsia" w:ascii="仿宋" w:hAnsi="仿宋" w:eastAsia="仿宋"/>
        </w:rPr>
        <w:t>附件：1.药品临床综合评价维度</w:t>
      </w:r>
    </w:p>
    <w:p>
      <w:pPr>
        <w:pStyle w:val="5"/>
        <w:tabs>
          <w:tab w:val="left" w:pos="1622"/>
        </w:tabs>
        <w:spacing w:line="600" w:lineRule="exact"/>
        <w:ind w:firstLine="1600" w:firstLineChars="500"/>
        <w:rPr>
          <w:rFonts w:hint="eastAsia" w:ascii="仿宋" w:hAnsi="仿宋" w:eastAsia="仿宋"/>
        </w:rPr>
      </w:pPr>
      <w:r>
        <w:rPr>
          <w:rFonts w:hint="eastAsia" w:ascii="仿宋" w:hAnsi="仿宋" w:eastAsia="仿宋"/>
        </w:rPr>
        <w:t>2.药品临床综合评价管理指南（2021年版 试行）</w:t>
      </w:r>
    </w:p>
    <w:p>
      <w:pPr>
        <w:pStyle w:val="5"/>
        <w:spacing w:line="600" w:lineRule="exact"/>
        <w:rPr>
          <w:rFonts w:hint="eastAsia" w:ascii="仿宋" w:hAnsi="仿宋" w:eastAsia="仿宋"/>
        </w:rPr>
      </w:pPr>
    </w:p>
    <w:p>
      <w:pPr>
        <w:pStyle w:val="5"/>
        <w:spacing w:line="600" w:lineRule="exact"/>
        <w:rPr>
          <w:rFonts w:hint="eastAsia" w:ascii="仿宋" w:hAnsi="仿宋" w:eastAsia="仿宋"/>
        </w:rPr>
      </w:pPr>
    </w:p>
    <w:p>
      <w:pPr>
        <w:pStyle w:val="5"/>
        <w:spacing w:line="600" w:lineRule="exact"/>
        <w:rPr>
          <w:rFonts w:hint="eastAsia" w:ascii="仿宋" w:hAnsi="仿宋" w:eastAsia="仿宋"/>
        </w:rPr>
      </w:pPr>
    </w:p>
    <w:p>
      <w:pPr>
        <w:pStyle w:val="5"/>
        <w:spacing w:line="600" w:lineRule="exact"/>
        <w:rPr>
          <w:rFonts w:hint="eastAsia" w:ascii="仿宋" w:hAnsi="仿宋" w:eastAsia="仿宋"/>
        </w:rPr>
      </w:pPr>
    </w:p>
    <w:p>
      <w:pPr>
        <w:pStyle w:val="5"/>
        <w:spacing w:line="600" w:lineRule="exact"/>
        <w:rPr>
          <w:rFonts w:hint="eastAsia" w:ascii="仿宋" w:hAnsi="仿宋" w:eastAsia="仿宋"/>
        </w:rPr>
      </w:pPr>
    </w:p>
    <w:p>
      <w:pPr>
        <w:pStyle w:val="5"/>
        <w:spacing w:line="600" w:lineRule="exact"/>
        <w:rPr>
          <w:rFonts w:hint="eastAsia" w:ascii="仿宋" w:hAnsi="仿宋" w:eastAsia="仿宋"/>
        </w:rPr>
      </w:pPr>
    </w:p>
    <w:p>
      <w:pPr>
        <w:pStyle w:val="5"/>
        <w:spacing w:line="600" w:lineRule="exact"/>
        <w:rPr>
          <w:rFonts w:hint="eastAsia" w:ascii="仿宋" w:hAnsi="仿宋" w:eastAsia="仿宋"/>
        </w:rPr>
      </w:pPr>
    </w:p>
    <w:p>
      <w:pPr>
        <w:pStyle w:val="5"/>
        <w:spacing w:line="600" w:lineRule="exact"/>
        <w:rPr>
          <w:rFonts w:hint="eastAsia" w:ascii="仿宋" w:hAnsi="仿宋" w:eastAsia="仿宋"/>
        </w:rPr>
      </w:pPr>
      <w:r>
        <w:rPr>
          <w:rFonts w:hint="eastAsia" w:ascii="仿宋" w:hAnsi="仿宋" w:eastAsia="仿宋"/>
        </w:rPr>
        <w:t xml:space="preserve"> </w:t>
      </w:r>
    </w:p>
    <w:p>
      <w:pPr>
        <w:pStyle w:val="5"/>
        <w:spacing w:line="600" w:lineRule="exact"/>
        <w:rPr>
          <w:rFonts w:hint="eastAsia" w:ascii="仿宋" w:hAnsi="仿宋" w:eastAsia="仿宋"/>
        </w:rPr>
      </w:pPr>
    </w:p>
    <w:p>
      <w:pPr>
        <w:pStyle w:val="5"/>
        <w:spacing w:line="600" w:lineRule="exact"/>
        <w:rPr>
          <w:rFonts w:hint="eastAsia" w:ascii="仿宋" w:hAnsi="仿宋" w:eastAsia="仿宋"/>
        </w:rPr>
      </w:pPr>
      <w:r>
        <w:rPr>
          <w:rFonts w:hint="eastAsia" w:ascii="仿宋" w:hAnsi="仿宋" w:eastAsia="仿宋"/>
        </w:rPr>
        <w:t xml:space="preserve">                </w:t>
      </w:r>
    </w:p>
    <w:p>
      <w:pPr>
        <w:pStyle w:val="5"/>
        <w:spacing w:line="600" w:lineRule="exact"/>
        <w:rPr>
          <w:rFonts w:ascii="仿宋" w:hAnsi="仿宋" w:eastAsia="仿宋"/>
        </w:rPr>
      </w:pPr>
    </w:p>
    <w:p>
      <w:pPr>
        <w:spacing w:line="600" w:lineRule="exact"/>
        <w:rPr>
          <w:rFonts w:hint="eastAsia" w:ascii="黑体" w:hAnsi="黑体" w:eastAsia="黑体"/>
          <w:color w:val="000000"/>
          <w:sz w:val="32"/>
          <w:szCs w:val="32"/>
        </w:rPr>
      </w:pPr>
      <w:r>
        <w:rPr>
          <w:rFonts w:hint="eastAsia" w:ascii="黑体" w:hAnsi="黑体" w:eastAsia="黑体" w:cs="宋体"/>
          <w:color w:val="000000"/>
          <w:sz w:val="32"/>
          <w:szCs w:val="32"/>
        </w:rPr>
        <w:t>附件1</w:t>
      </w:r>
    </w:p>
    <w:p>
      <w:pPr>
        <w:spacing w:line="600" w:lineRule="exact"/>
        <w:rPr>
          <w:rFonts w:hint="eastAsia" w:ascii="仿宋" w:hAnsi="仿宋" w:eastAsia="仿宋"/>
          <w:sz w:val="32"/>
          <w:szCs w:val="32"/>
        </w:rPr>
      </w:pPr>
    </w:p>
    <w:p>
      <w:pPr>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药品临床综合评价维度</w:t>
      </w:r>
    </w:p>
    <w:p>
      <w:pPr>
        <w:spacing w:line="600" w:lineRule="exact"/>
        <w:rPr>
          <w:rFonts w:hint="eastAsia" w:ascii="仿宋" w:hAnsi="仿宋" w:eastAsia="仿宋"/>
          <w:sz w:val="32"/>
          <w:szCs w:val="32"/>
        </w:rPr>
      </w:pPr>
    </w:p>
    <w:tbl>
      <w:tblPr>
        <w:tblStyle w:val="9"/>
        <w:tblW w:w="8279"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olor w:val="000000"/>
                <w:sz w:val="32"/>
                <w:szCs w:val="32"/>
              </w:rPr>
            </w:pPr>
            <w:r>
              <w:rPr>
                <w:rFonts w:hint="eastAsia" w:ascii="仿宋" w:hAnsi="仿宋" w:eastAsia="仿宋"/>
                <w:color w:val="000000"/>
                <w:sz w:val="32"/>
                <w:szCs w:val="32"/>
              </w:rPr>
              <w:t>评价维度</w:t>
            </w:r>
          </w:p>
        </w:tc>
        <w:tc>
          <w:tcPr>
            <w:tcW w:w="654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olor w:val="000000"/>
                <w:sz w:val="32"/>
                <w:szCs w:val="32"/>
              </w:rPr>
            </w:pPr>
            <w:r>
              <w:rPr>
                <w:rFonts w:hint="eastAsia" w:ascii="仿宋" w:hAnsi="仿宋" w:eastAsia="仿宋"/>
                <w:color w:val="000000"/>
                <w:sz w:val="32"/>
                <w:szCs w:val="32"/>
              </w:rPr>
              <w:t>纳入评价信息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17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olor w:val="000000"/>
                <w:sz w:val="32"/>
                <w:szCs w:val="32"/>
              </w:rPr>
            </w:pPr>
            <w:r>
              <w:rPr>
                <w:rFonts w:hint="eastAsia" w:ascii="仿宋" w:hAnsi="仿宋" w:eastAsia="仿宋"/>
                <w:color w:val="000000"/>
                <w:sz w:val="32"/>
                <w:szCs w:val="32"/>
              </w:rPr>
              <w:t>安全性</w:t>
            </w:r>
          </w:p>
        </w:tc>
        <w:tc>
          <w:tcPr>
            <w:tcW w:w="6540" w:type="dxa"/>
            <w:tcBorders>
              <w:top w:val="single" w:color="auto" w:sz="4" w:space="0"/>
              <w:left w:val="single" w:color="auto" w:sz="4" w:space="0"/>
              <w:bottom w:val="single" w:color="auto" w:sz="4" w:space="0"/>
              <w:right w:val="single" w:color="auto" w:sz="4" w:space="0"/>
            </w:tcBorders>
            <w:vAlign w:val="center"/>
          </w:tcPr>
          <w:p>
            <w:pPr>
              <w:spacing w:line="600" w:lineRule="exact"/>
              <w:rPr>
                <w:rFonts w:hint="eastAsia" w:ascii="仿宋" w:hAnsi="仿宋" w:eastAsia="仿宋"/>
                <w:color w:val="000000"/>
                <w:sz w:val="32"/>
                <w:szCs w:val="32"/>
              </w:rPr>
            </w:pPr>
            <w:r>
              <w:rPr>
                <w:rFonts w:hint="eastAsia" w:ascii="仿宋" w:hAnsi="仿宋" w:eastAsia="仿宋"/>
                <w:color w:val="000000"/>
                <w:sz w:val="32"/>
                <w:szCs w:val="32"/>
              </w:rPr>
              <w:t>上市前安全性及相对安全性；上市后安全性及相对安全性；药品质量、稳定性、等效性等一致性评价结果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7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olor w:val="000000"/>
                <w:sz w:val="32"/>
                <w:szCs w:val="32"/>
              </w:rPr>
            </w:pPr>
            <w:r>
              <w:rPr>
                <w:rFonts w:hint="eastAsia" w:ascii="仿宋" w:hAnsi="仿宋" w:eastAsia="仿宋"/>
                <w:color w:val="000000"/>
                <w:sz w:val="32"/>
                <w:szCs w:val="32"/>
              </w:rPr>
              <w:t>有效性</w:t>
            </w:r>
          </w:p>
        </w:tc>
        <w:tc>
          <w:tcPr>
            <w:tcW w:w="6540" w:type="dxa"/>
            <w:tcBorders>
              <w:top w:val="single" w:color="auto" w:sz="4" w:space="0"/>
              <w:left w:val="single" w:color="auto" w:sz="4" w:space="0"/>
              <w:bottom w:val="single" w:color="auto" w:sz="4" w:space="0"/>
              <w:right w:val="single" w:color="auto" w:sz="4" w:space="0"/>
            </w:tcBorders>
            <w:vAlign w:val="center"/>
          </w:tcPr>
          <w:p>
            <w:pPr>
              <w:spacing w:line="600" w:lineRule="exact"/>
              <w:rPr>
                <w:rFonts w:hint="eastAsia" w:ascii="仿宋" w:hAnsi="仿宋" w:eastAsia="仿宋"/>
                <w:color w:val="000000"/>
                <w:sz w:val="32"/>
                <w:szCs w:val="32"/>
              </w:rPr>
            </w:pPr>
            <w:r>
              <w:rPr>
                <w:rFonts w:hint="eastAsia" w:ascii="仿宋" w:hAnsi="仿宋" w:eastAsia="仿宋"/>
                <w:color w:val="000000"/>
                <w:sz w:val="32"/>
                <w:szCs w:val="32"/>
              </w:rPr>
              <w:t>中间指标；终点结局指标；患者生活质量改善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17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olor w:val="000000"/>
                <w:sz w:val="32"/>
                <w:szCs w:val="32"/>
              </w:rPr>
            </w:pPr>
            <w:r>
              <w:rPr>
                <w:rFonts w:hint="eastAsia" w:ascii="仿宋" w:hAnsi="仿宋" w:eastAsia="仿宋"/>
                <w:color w:val="000000"/>
                <w:sz w:val="32"/>
                <w:szCs w:val="32"/>
              </w:rPr>
              <w:t>适宜性</w:t>
            </w:r>
          </w:p>
        </w:tc>
        <w:tc>
          <w:tcPr>
            <w:tcW w:w="6540" w:type="dxa"/>
            <w:tcBorders>
              <w:top w:val="single" w:color="auto" w:sz="4" w:space="0"/>
              <w:left w:val="single" w:color="auto" w:sz="4" w:space="0"/>
              <w:bottom w:val="single" w:color="auto" w:sz="4" w:space="0"/>
              <w:right w:val="single" w:color="auto" w:sz="4" w:space="0"/>
            </w:tcBorders>
            <w:vAlign w:val="center"/>
          </w:tcPr>
          <w:p>
            <w:pPr>
              <w:spacing w:line="600" w:lineRule="exact"/>
              <w:rPr>
                <w:rFonts w:hint="eastAsia" w:ascii="仿宋" w:hAnsi="仿宋" w:eastAsia="仿宋"/>
                <w:color w:val="000000"/>
                <w:sz w:val="32"/>
                <w:szCs w:val="32"/>
              </w:rPr>
            </w:pPr>
            <w:r>
              <w:rPr>
                <w:rFonts w:hint="eastAsia" w:ascii="仿宋" w:hAnsi="仿宋" w:eastAsia="仿宋"/>
                <w:color w:val="000000"/>
                <w:sz w:val="32"/>
                <w:szCs w:val="32"/>
              </w:rPr>
              <w:t>适应证和分子分型亚组人群适应证；临床使用方法和患者用药需求；药品管理门槛和壁垒；分级诊疗服务体系影响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7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olor w:val="000000"/>
                <w:sz w:val="32"/>
                <w:szCs w:val="32"/>
              </w:rPr>
            </w:pPr>
            <w:r>
              <w:rPr>
                <w:rFonts w:hint="eastAsia" w:ascii="仿宋" w:hAnsi="仿宋" w:eastAsia="仿宋"/>
                <w:color w:val="000000"/>
                <w:sz w:val="32"/>
                <w:szCs w:val="32"/>
              </w:rPr>
              <w:t>经济性</w:t>
            </w:r>
          </w:p>
        </w:tc>
        <w:tc>
          <w:tcPr>
            <w:tcW w:w="6540" w:type="dxa"/>
            <w:tcBorders>
              <w:top w:val="single" w:color="auto" w:sz="4" w:space="0"/>
              <w:left w:val="single" w:color="auto" w:sz="4" w:space="0"/>
              <w:bottom w:val="single" w:color="auto" w:sz="4" w:space="0"/>
              <w:right w:val="single" w:color="auto" w:sz="4" w:space="0"/>
            </w:tcBorders>
            <w:vAlign w:val="center"/>
          </w:tcPr>
          <w:p>
            <w:pPr>
              <w:spacing w:line="600" w:lineRule="exact"/>
              <w:rPr>
                <w:rFonts w:hint="eastAsia" w:ascii="仿宋" w:hAnsi="仿宋" w:eastAsia="仿宋"/>
                <w:color w:val="000000"/>
                <w:sz w:val="32"/>
                <w:szCs w:val="32"/>
              </w:rPr>
            </w:pPr>
            <w:r>
              <w:rPr>
                <w:rFonts w:hint="eastAsia" w:ascii="仿宋" w:hAnsi="仿宋" w:eastAsia="仿宋"/>
                <w:color w:val="000000"/>
                <w:sz w:val="32"/>
                <w:szCs w:val="32"/>
              </w:rPr>
              <w:t>成本—效果、成本—效用分析；预算影响分析；回归社会，劳动生产力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17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olor w:val="000000"/>
                <w:sz w:val="32"/>
                <w:szCs w:val="32"/>
              </w:rPr>
            </w:pPr>
            <w:r>
              <w:rPr>
                <w:rFonts w:hint="eastAsia" w:ascii="仿宋" w:hAnsi="仿宋" w:eastAsia="仿宋"/>
                <w:color w:val="000000"/>
                <w:sz w:val="32"/>
                <w:szCs w:val="32"/>
              </w:rPr>
              <w:t>创新性</w:t>
            </w:r>
          </w:p>
        </w:tc>
        <w:tc>
          <w:tcPr>
            <w:tcW w:w="6540" w:type="dxa"/>
            <w:tcBorders>
              <w:top w:val="single" w:color="auto" w:sz="4" w:space="0"/>
              <w:left w:val="single" w:color="auto" w:sz="4" w:space="0"/>
              <w:bottom w:val="single" w:color="auto" w:sz="4" w:space="0"/>
              <w:right w:val="single" w:color="auto" w:sz="4" w:space="0"/>
            </w:tcBorders>
            <w:vAlign w:val="center"/>
          </w:tcPr>
          <w:p>
            <w:pPr>
              <w:spacing w:line="600" w:lineRule="exact"/>
              <w:rPr>
                <w:rFonts w:hint="eastAsia" w:ascii="仿宋" w:hAnsi="仿宋" w:eastAsia="仿宋"/>
                <w:color w:val="000000"/>
                <w:sz w:val="32"/>
                <w:szCs w:val="32"/>
              </w:rPr>
            </w:pPr>
            <w:r>
              <w:rPr>
                <w:rFonts w:hint="eastAsia" w:ascii="仿宋" w:hAnsi="仿宋" w:eastAsia="仿宋"/>
                <w:color w:val="000000"/>
                <w:sz w:val="32"/>
                <w:szCs w:val="32"/>
              </w:rPr>
              <w:t>专利价值；商业投资价值；临床创新价值；技术国产化；重大技术创新；应对紧急事件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7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olor w:val="000000"/>
                <w:sz w:val="32"/>
                <w:szCs w:val="32"/>
              </w:rPr>
            </w:pPr>
            <w:r>
              <w:rPr>
                <w:rFonts w:hint="eastAsia" w:ascii="仿宋" w:hAnsi="仿宋" w:eastAsia="仿宋"/>
                <w:color w:val="000000"/>
                <w:sz w:val="32"/>
                <w:szCs w:val="32"/>
              </w:rPr>
              <w:t>可及性</w:t>
            </w:r>
          </w:p>
        </w:tc>
        <w:tc>
          <w:tcPr>
            <w:tcW w:w="6540" w:type="dxa"/>
            <w:tcBorders>
              <w:top w:val="single" w:color="auto" w:sz="4" w:space="0"/>
              <w:left w:val="single" w:color="auto" w:sz="4" w:space="0"/>
              <w:bottom w:val="single" w:color="auto" w:sz="4" w:space="0"/>
              <w:right w:val="single" w:color="auto" w:sz="4" w:space="0"/>
            </w:tcBorders>
            <w:vAlign w:val="center"/>
          </w:tcPr>
          <w:p>
            <w:pPr>
              <w:spacing w:line="600" w:lineRule="exact"/>
              <w:rPr>
                <w:rFonts w:hint="eastAsia" w:ascii="仿宋" w:hAnsi="仿宋" w:eastAsia="仿宋"/>
                <w:color w:val="000000"/>
                <w:sz w:val="32"/>
                <w:szCs w:val="32"/>
              </w:rPr>
            </w:pPr>
            <w:r>
              <w:rPr>
                <w:rFonts w:hint="eastAsia" w:ascii="仿宋" w:hAnsi="仿宋" w:eastAsia="仿宋"/>
                <w:color w:val="000000"/>
                <w:sz w:val="32"/>
                <w:szCs w:val="32"/>
              </w:rPr>
              <w:t>价格分析；可负担性；可获得性；公平性</w:t>
            </w:r>
          </w:p>
        </w:tc>
      </w:tr>
    </w:tbl>
    <w:p>
      <w:pPr>
        <w:pStyle w:val="7"/>
        <w:spacing w:before="0" w:beforeAutospacing="0" w:after="0" w:afterAutospacing="0" w:line="600" w:lineRule="exact"/>
        <w:jc w:val="both"/>
        <w:rPr>
          <w:rFonts w:hint="eastAsia" w:ascii="黑体" w:hAnsi="黑体" w:eastAsia="黑体" w:cs="仿宋"/>
          <w:color w:val="484848"/>
          <w:sz w:val="32"/>
          <w:szCs w:val="32"/>
        </w:rPr>
      </w:pPr>
      <w:r>
        <w:rPr>
          <w:rFonts w:hint="eastAsia" w:ascii="仿宋" w:hAnsi="仿宋" w:eastAsia="仿宋"/>
          <w:sz w:val="32"/>
          <w:szCs w:val="32"/>
        </w:rPr>
        <w:br w:type="page"/>
      </w:r>
      <w:r>
        <w:rPr>
          <w:rFonts w:hint="eastAsia" w:ascii="黑体" w:hAnsi="黑体" w:eastAsia="黑体"/>
          <w:color w:val="484848"/>
          <w:sz w:val="32"/>
          <w:szCs w:val="32"/>
        </w:rPr>
        <w:t>附件2</w:t>
      </w:r>
    </w:p>
    <w:p>
      <w:pPr>
        <w:pStyle w:val="7"/>
        <w:spacing w:before="0" w:beforeAutospacing="0" w:after="0" w:afterAutospacing="0" w:line="600" w:lineRule="exact"/>
        <w:ind w:firstLine="420"/>
        <w:jc w:val="both"/>
        <w:rPr>
          <w:rFonts w:hint="eastAsia" w:ascii="仿宋" w:hAnsi="仿宋" w:eastAsia="仿宋" w:cs="仿宋"/>
          <w:color w:val="484848"/>
          <w:sz w:val="32"/>
          <w:szCs w:val="32"/>
        </w:rPr>
      </w:pPr>
    </w:p>
    <w:p>
      <w:pPr>
        <w:pStyle w:val="7"/>
        <w:spacing w:before="0" w:beforeAutospacing="0" w:after="0" w:afterAutospacing="0" w:line="600" w:lineRule="exact"/>
        <w:jc w:val="center"/>
        <w:rPr>
          <w:rFonts w:hint="eastAsia" w:ascii="方正小标宋简体" w:hAnsi="仿宋" w:eastAsia="方正小标宋简体" w:cs="微软雅黑"/>
          <w:color w:val="484848"/>
          <w:sz w:val="44"/>
          <w:szCs w:val="44"/>
        </w:rPr>
      </w:pPr>
      <w:r>
        <w:rPr>
          <w:rFonts w:hint="eastAsia" w:ascii="方正小标宋简体" w:hAnsi="仿宋" w:eastAsia="方正小标宋简体" w:cs="微软雅黑"/>
          <w:color w:val="484848"/>
          <w:sz w:val="44"/>
          <w:szCs w:val="44"/>
        </w:rPr>
        <w:t>药品临床综合评价管理指南</w:t>
      </w:r>
    </w:p>
    <w:p>
      <w:pPr>
        <w:pStyle w:val="7"/>
        <w:spacing w:before="0" w:beforeAutospacing="0" w:after="0" w:afterAutospacing="0" w:line="600" w:lineRule="exact"/>
        <w:jc w:val="center"/>
        <w:rPr>
          <w:rFonts w:hint="eastAsia" w:ascii="方正小标宋简体" w:hAnsi="仿宋" w:eastAsia="方正小标宋简体" w:cs="微软雅黑"/>
          <w:color w:val="484848"/>
          <w:sz w:val="44"/>
          <w:szCs w:val="44"/>
        </w:rPr>
      </w:pPr>
      <w:r>
        <w:rPr>
          <w:rFonts w:hint="eastAsia" w:ascii="方正小标宋简体" w:hAnsi="仿宋" w:eastAsia="方正小标宋简体" w:cs="楷体"/>
          <w:color w:val="484848"/>
          <w:sz w:val="44"/>
          <w:szCs w:val="44"/>
        </w:rPr>
        <w:t>（2021年版试行）</w:t>
      </w:r>
    </w:p>
    <w:p>
      <w:pPr>
        <w:pStyle w:val="7"/>
        <w:spacing w:before="0" w:beforeAutospacing="0" w:after="0" w:afterAutospacing="0" w:line="600" w:lineRule="exact"/>
        <w:ind w:firstLine="420"/>
        <w:jc w:val="center"/>
        <w:rPr>
          <w:rFonts w:hint="eastAsia" w:ascii="仿宋" w:hAnsi="仿宋" w:eastAsia="仿宋" w:cs="仿宋"/>
          <w:color w:val="484848"/>
          <w:sz w:val="32"/>
          <w:szCs w:val="32"/>
        </w:rPr>
      </w:pPr>
    </w:p>
    <w:p>
      <w:pPr>
        <w:pStyle w:val="7"/>
        <w:spacing w:before="0" w:beforeAutospacing="0" w:after="0" w:afterAutospacing="0" w:line="600" w:lineRule="exact"/>
        <w:jc w:val="center"/>
        <w:rPr>
          <w:rFonts w:ascii="仿宋" w:hAnsi="仿宋" w:eastAsia="仿宋" w:cs="黑体"/>
          <w:color w:val="484848"/>
          <w:sz w:val="32"/>
          <w:szCs w:val="32"/>
        </w:rPr>
      </w:pPr>
      <w:r>
        <w:rPr>
          <w:rFonts w:hint="eastAsia" w:ascii="仿宋" w:hAnsi="仿宋" w:eastAsia="仿宋" w:cs="仿宋"/>
          <w:color w:val="484848"/>
          <w:sz w:val="32"/>
          <w:szCs w:val="32"/>
          <w:lang w:val="en-US" w:eastAsia="zh-CN"/>
        </w:rPr>
        <w:t xml:space="preserve"> </w:t>
      </w:r>
      <w:r>
        <w:rPr>
          <w:rFonts w:hint="eastAsia" w:ascii="仿宋" w:hAnsi="仿宋" w:eastAsia="仿宋" w:cs="微软雅黑"/>
          <w:color w:val="484848"/>
          <w:sz w:val="32"/>
          <w:szCs w:val="32"/>
        </w:rPr>
        <w:t>前</w:t>
      </w:r>
      <w:r>
        <w:rPr>
          <w:rFonts w:hint="eastAsia" w:ascii="仿宋" w:hAnsi="仿宋" w:eastAsia="仿宋" w:cs="微软雅黑"/>
          <w:color w:val="484848"/>
          <w:sz w:val="32"/>
          <w:szCs w:val="32"/>
          <w:lang w:val="en-US" w:eastAsia="zh-CN"/>
        </w:rPr>
        <w:t xml:space="preserve"> </w:t>
      </w:r>
      <w:bookmarkStart w:id="0" w:name="_GoBack"/>
      <w:bookmarkEnd w:id="0"/>
      <w:r>
        <w:rPr>
          <w:rFonts w:ascii="仿宋" w:hAnsi="仿宋" w:eastAsia="仿宋" w:cs="黑体"/>
          <w:color w:val="484848"/>
          <w:sz w:val="32"/>
          <w:szCs w:val="32"/>
        </w:rPr>
        <w:t>言</w:t>
      </w:r>
    </w:p>
    <w:p>
      <w:pPr>
        <w:pStyle w:val="7"/>
        <w:spacing w:before="0" w:beforeAutospacing="0" w:after="0" w:afterAutospacing="0" w:line="600" w:lineRule="exact"/>
        <w:ind w:firstLine="640" w:firstLineChars="200"/>
        <w:rPr>
          <w:rFonts w:ascii="仿宋" w:hAnsi="仿宋" w:eastAsia="仿宋" w:cs="黑体"/>
          <w:color w:val="484848"/>
          <w:sz w:val="32"/>
          <w:szCs w:val="32"/>
        </w:rPr>
      </w:pPr>
    </w:p>
    <w:p>
      <w:pPr>
        <w:pStyle w:val="7"/>
        <w:spacing w:before="0" w:beforeAutospacing="0" w:after="0" w:afterAutospacing="0" w:line="600" w:lineRule="exact"/>
        <w:ind w:firstLine="640" w:firstLineChars="200"/>
        <w:rPr>
          <w:rFonts w:hint="eastAsia" w:ascii="黑体" w:hAnsi="黑体" w:eastAsia="黑体" w:cs="微软雅黑"/>
          <w:color w:val="484848"/>
          <w:sz w:val="32"/>
          <w:szCs w:val="32"/>
        </w:rPr>
      </w:pPr>
      <w:r>
        <w:rPr>
          <w:rFonts w:hint="eastAsia" w:ascii="黑体" w:hAnsi="黑体" w:eastAsia="黑体" w:cs="微软雅黑"/>
          <w:color w:val="484848"/>
          <w:sz w:val="32"/>
          <w:szCs w:val="32"/>
        </w:rPr>
        <w:t>一、制定依据</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根据《中华人民共和国基本医疗卫生与健康促进法》《中华人民共和国药品管理法》《“健康中国2030”规划纲要》《国务院办公厅关于完善国家基本药物制度的意见》（国办发〔2018〕88号），以及《关于进一步加强公立医疗机构基本药物配备使用管理的通知》（国卫药政发〔2019〕1号）、《关于开展药品使用监测和临床综合评价工作的通知》（国卫药政函〔2019〕80号）、《关于加强医疗机构药事管理促进合理用药的意见》（国卫医发〔2020〕2号）等法律法规和文件对药品临床综合评价工作的部署和要求，制定本指南。</w:t>
      </w:r>
    </w:p>
    <w:p>
      <w:pPr>
        <w:pStyle w:val="7"/>
        <w:spacing w:before="0" w:beforeAutospacing="0" w:after="0" w:afterAutospacing="0" w:line="600" w:lineRule="exact"/>
        <w:ind w:firstLine="640" w:firstLineChars="200"/>
        <w:jc w:val="both"/>
        <w:rPr>
          <w:rFonts w:hint="eastAsia" w:ascii="黑体" w:hAnsi="黑体" w:eastAsia="黑体" w:cs="微软雅黑"/>
          <w:color w:val="484848"/>
          <w:sz w:val="32"/>
          <w:szCs w:val="32"/>
        </w:rPr>
      </w:pPr>
      <w:r>
        <w:rPr>
          <w:rFonts w:hint="eastAsia" w:ascii="黑体" w:hAnsi="黑体" w:eastAsia="黑体" w:cs="微软雅黑"/>
          <w:color w:val="484848"/>
          <w:sz w:val="32"/>
          <w:szCs w:val="32"/>
        </w:rPr>
        <w:t>二、制定过程</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为加快建立健全统一、科学、实用的药品临床综合评价标准规范、实施路径和工作协调机制，统筹开展药品决策证据集成、科学分析和准确评价，指导和规范开展药品临床综合评价，国家卫生健康委药政司委托国家药物和卫生技术综合评估中心（挂靠国家卫生健康委卫生发展研究中心，以下简称评估中心）、国家卫生健康委药具管理中心（以下简称药具中心），联合国家心血管中心、国家癌症中心、国家儿童医学中心，以及相关医疗卫生机构等，组织临床医学、药学、管理学、循证医学、卫生经济学和卫生政策等领域专家共同制定本指南。自2018年9月启动指南编写工作以来，组织数百名相关学科专家召开了数十轮论证会，广泛听取了各省级卫生健康行政部门、部分医疗卫生机构、医药行业学（协）会和企业代表意见，同时结合部分省份实践经验，前后修改20余稿。于2020年11月公开征求社会意见，进一步修改完善，最终形成本指南。</w:t>
      </w:r>
    </w:p>
    <w:p>
      <w:pPr>
        <w:pStyle w:val="7"/>
        <w:spacing w:before="0" w:beforeAutospacing="0" w:after="0" w:afterAutospacing="0" w:line="600" w:lineRule="exact"/>
        <w:ind w:firstLine="640" w:firstLineChars="200"/>
        <w:jc w:val="both"/>
        <w:rPr>
          <w:rFonts w:hint="eastAsia" w:ascii="黑体" w:hAnsi="黑体" w:eastAsia="黑体" w:cs="微软雅黑"/>
          <w:color w:val="484848"/>
          <w:sz w:val="32"/>
          <w:szCs w:val="32"/>
        </w:rPr>
      </w:pPr>
      <w:r>
        <w:rPr>
          <w:rFonts w:hint="eastAsia" w:ascii="黑体" w:hAnsi="黑体" w:eastAsia="黑体" w:cs="微软雅黑"/>
          <w:color w:val="484848"/>
          <w:sz w:val="32"/>
          <w:szCs w:val="32"/>
        </w:rPr>
        <w:t>三、起草思路</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本指南主要围绕我国临床重大疾病防治基本用药需求，根据我国药品临床应用实践与药物供应保障政策现状，参考借鉴国际有益做法和经验，重点明确药品临床综合评价的目的原则、组织管理、规范流程、内容方法、质量控制、结果应用等内容，旨在引导和推动相关主体规范开展药品临床综合评价，持续推动药品临床综合评价工作标准化、规范化、科学化、同质化，更好地服务国家药物政策决策需求，助力提高药事服务质量，保障临床基本用药的供应与规范使用，控制不合理药品费用支出，更高质量满足人民群众用药需求。</w:t>
      </w:r>
    </w:p>
    <w:p>
      <w:pPr>
        <w:pStyle w:val="7"/>
        <w:spacing w:before="0" w:beforeAutospacing="0" w:after="0" w:afterAutospacing="0" w:line="600" w:lineRule="exact"/>
        <w:ind w:firstLine="640" w:firstLineChars="200"/>
        <w:jc w:val="both"/>
        <w:rPr>
          <w:rFonts w:hint="eastAsia" w:ascii="黑体" w:hAnsi="黑体" w:eastAsia="黑体" w:cs="微软雅黑"/>
          <w:color w:val="484848"/>
          <w:sz w:val="32"/>
          <w:szCs w:val="32"/>
        </w:rPr>
      </w:pPr>
      <w:r>
        <w:rPr>
          <w:rFonts w:hint="eastAsia" w:ascii="黑体" w:hAnsi="黑体" w:eastAsia="黑体" w:cs="微软雅黑"/>
          <w:color w:val="484848"/>
          <w:sz w:val="32"/>
          <w:szCs w:val="32"/>
        </w:rPr>
        <w:t>四、主要内容</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本指南包括4个章节。</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第一章提出药品临床综合评价的目的、基本原则及本指南的适用范围。</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第二章介绍评价流程、内容与维度。定义了包括主题遴选、评价实施和结果应用转化3个基本环节共5方面内容的药品临床综合评价工作流程。围绕技术评价与政策评价两条主线，提出了从安全性、有效性、经济性、创新性、适宜性、可及性6个维度开展科学规范的药品临床综合评价的管理要求。</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第三章介绍证据评价与应用。明确了建立和完善国家药品临床综合评价基础信息平台的要求，充分利用真实世界数据，逐步形成全国药品临床综合评价模型、指标体系和标准化决策框架，加强数据信息安全。提出了评价质控与结果应用指导意见，围绕相关主体资质、组织流程合规性、方法学严谨性等开展重点质控工作，并提出了组织实施机构应按流程进行评价结果转化应用，持续跟踪药品应用情况，不断累积数据验证评价结果等要求。</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第四章提出指南管理的要求。明确本指南与相关疾病别技术指南共同构成药品临床综合评价指南体系，提出本指南长期接受社会意见并定期修订完善。</w:t>
      </w:r>
    </w:p>
    <w:p>
      <w:pPr>
        <w:pStyle w:val="7"/>
        <w:spacing w:before="0" w:beforeAutospacing="0" w:after="0" w:afterAutospacing="0" w:line="600" w:lineRule="exact"/>
        <w:ind w:firstLine="640" w:firstLineChars="200"/>
        <w:jc w:val="both"/>
        <w:rPr>
          <w:rFonts w:hint="eastAsia" w:ascii="黑体" w:hAnsi="黑体" w:eastAsia="黑体" w:cs="微软雅黑"/>
          <w:color w:val="484848"/>
          <w:sz w:val="32"/>
          <w:szCs w:val="32"/>
        </w:rPr>
      </w:pPr>
      <w:r>
        <w:rPr>
          <w:rFonts w:hint="eastAsia" w:ascii="黑体" w:hAnsi="黑体" w:eastAsia="黑体" w:cs="微软雅黑"/>
          <w:color w:val="484848"/>
          <w:sz w:val="32"/>
          <w:szCs w:val="32"/>
        </w:rPr>
        <w:t>五、特别说明</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本指南基于我国当前情况下实施药品临床综合评价的认知水平和技术能力编制，供涉及药品临床综合评价研究和实施的相关主体参考使用。随着理论研究的深入、科技发展的进步和实践证据的积累，本指南将不断更新与完善。</w:t>
      </w:r>
    </w:p>
    <w:p>
      <w:pPr>
        <w:pStyle w:val="2"/>
        <w:widowControl/>
        <w:spacing w:line="600" w:lineRule="exact"/>
        <w:ind w:left="0" w:right="0"/>
        <w:rPr>
          <w:rFonts w:hint="eastAsia" w:ascii="仿宋" w:hAnsi="仿宋" w:eastAsia="仿宋" w:cs="微软雅黑"/>
          <w:b/>
          <w:color w:val="676767"/>
          <w:sz w:val="32"/>
          <w:szCs w:val="32"/>
        </w:rPr>
      </w:pPr>
      <w:r>
        <w:rPr>
          <w:rFonts w:hint="eastAsia" w:ascii="仿宋" w:hAnsi="仿宋" w:eastAsia="仿宋" w:cs="仿宋"/>
          <w:b/>
          <w:bCs/>
          <w:color w:val="484848"/>
          <w:sz w:val="32"/>
          <w:szCs w:val="32"/>
        </w:rPr>
        <w:br w:type="textWrapping"/>
      </w:r>
      <w:r>
        <w:rPr>
          <w:rFonts w:hint="eastAsia" w:ascii="仿宋" w:hAnsi="仿宋" w:eastAsia="仿宋" w:cs="微软雅黑"/>
          <w:b/>
          <w:color w:val="484848"/>
          <w:sz w:val="32"/>
          <w:szCs w:val="32"/>
        </w:rPr>
        <w:t>第一章</w:t>
      </w:r>
      <w:r>
        <w:rPr>
          <w:rFonts w:hint="eastAsia" w:ascii="仿宋" w:hAnsi="仿宋" w:eastAsia="仿宋" w:cs="微软雅黑"/>
          <w:b/>
          <w:color w:val="484848"/>
          <w:sz w:val="32"/>
          <w:szCs w:val="32"/>
          <w:lang w:val="en-US" w:eastAsia="zh-CN"/>
        </w:rPr>
        <w:t xml:space="preserve">  </w:t>
      </w:r>
      <w:r>
        <w:rPr>
          <w:rFonts w:hint="eastAsia" w:ascii="仿宋" w:hAnsi="仿宋" w:eastAsia="仿宋" w:cs="仿宋"/>
          <w:b/>
          <w:color w:val="484848"/>
          <w:sz w:val="32"/>
          <w:szCs w:val="32"/>
        </w:rPr>
        <w:t>概述</w:t>
      </w:r>
    </w:p>
    <w:p>
      <w:pPr>
        <w:pStyle w:val="3"/>
        <w:keepNext w:val="0"/>
        <w:keepLines w:val="0"/>
        <w:widowControl/>
        <w:spacing w:before="0" w:after="0" w:line="600" w:lineRule="exact"/>
        <w:rPr>
          <w:rFonts w:hint="eastAsia" w:ascii="黑体" w:hAnsi="黑体" w:cs="微软雅黑"/>
          <w:color w:val="484848"/>
          <w:szCs w:val="32"/>
        </w:rPr>
      </w:pPr>
      <w:r>
        <w:rPr>
          <w:rFonts w:hint="eastAsia" w:ascii="黑体" w:hAnsi="黑体" w:cs="仿宋"/>
          <w:color w:val="484848"/>
          <w:szCs w:val="32"/>
        </w:rPr>
        <w:t>　</w:t>
      </w:r>
      <w:r>
        <w:rPr>
          <w:rFonts w:hint="eastAsia" w:ascii="黑体" w:hAnsi="黑体" w:cs="微软雅黑"/>
          <w:b w:val="0"/>
          <w:color w:val="484848"/>
          <w:szCs w:val="32"/>
        </w:rPr>
        <w:t>　一、目的</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药品临床综合评价以人民健康为中心，以药品临床价值为导向，利用真实世界数据和药品供应保障各环节信息开展药品实际应用综合分析，探索建立并逐步完善基于政策协同、信息共享，满足多主体参与、多维度分析需求的国家药品临床综合评价机制，为完善国家药物政策、保障临床基本用药供应与合理使用提供循证证据和专业性卫生技术评估支撑。</w:t>
      </w:r>
    </w:p>
    <w:p>
      <w:pPr>
        <w:pStyle w:val="3"/>
        <w:keepNext w:val="0"/>
        <w:keepLines w:val="0"/>
        <w:widowControl/>
        <w:spacing w:before="0" w:after="0" w:line="600" w:lineRule="exact"/>
        <w:rPr>
          <w:rFonts w:hint="eastAsia" w:ascii="黑体" w:hAnsi="黑体" w:cs="微软雅黑"/>
          <w:color w:val="484848"/>
          <w:szCs w:val="32"/>
        </w:rPr>
      </w:pPr>
      <w:r>
        <w:rPr>
          <w:rFonts w:hint="eastAsia" w:ascii="黑体" w:hAnsi="黑体" w:cs="仿宋"/>
          <w:color w:val="484848"/>
          <w:szCs w:val="32"/>
        </w:rPr>
        <w:t>　　</w:t>
      </w:r>
      <w:r>
        <w:rPr>
          <w:rFonts w:hint="eastAsia" w:ascii="黑体" w:hAnsi="黑体" w:cs="微软雅黑"/>
          <w:b w:val="0"/>
          <w:color w:val="484848"/>
          <w:szCs w:val="32"/>
        </w:rPr>
        <w:t>二、基本原则</w:t>
      </w:r>
    </w:p>
    <w:p>
      <w:pPr>
        <w:pStyle w:val="7"/>
        <w:spacing w:before="0" w:beforeAutospacing="0" w:after="0" w:afterAutospacing="0" w:line="600" w:lineRule="exact"/>
        <w:ind w:firstLine="420"/>
        <w:jc w:val="both"/>
        <w:rPr>
          <w:rFonts w:hint="eastAsia" w:ascii="仿宋" w:hAnsi="仿宋" w:eastAsia="仿宋" w:cs="仿宋"/>
          <w:color w:val="484848"/>
          <w:sz w:val="32"/>
          <w:szCs w:val="32"/>
        </w:rPr>
      </w:pPr>
      <w:r>
        <w:rPr>
          <w:rFonts w:hint="eastAsia" w:ascii="仿宋" w:hAnsi="仿宋" w:eastAsia="仿宋" w:cs="仿宋"/>
          <w:b/>
          <w:bCs/>
          <w:color w:val="484848"/>
          <w:sz w:val="32"/>
          <w:szCs w:val="32"/>
        </w:rPr>
        <w:t>（一）需求导向。</w:t>
      </w:r>
      <w:r>
        <w:rPr>
          <w:rFonts w:hint="eastAsia" w:ascii="仿宋" w:hAnsi="仿宋" w:eastAsia="仿宋" w:cs="仿宋"/>
          <w:color w:val="484848"/>
          <w:sz w:val="32"/>
          <w:szCs w:val="32"/>
        </w:rPr>
        <w:t>聚焦新时代我国卫生健康事业治理决策需求和药品供应保障制度实施的主要问题，坚持正确价值引领与循证判断，重点优化临床基本用药动态管理机制，推动国家药物政策连贯协调。</w:t>
      </w:r>
    </w:p>
    <w:p>
      <w:pPr>
        <w:pStyle w:val="7"/>
        <w:spacing w:before="0" w:beforeAutospacing="0" w:after="0" w:afterAutospacing="0" w:line="600" w:lineRule="exact"/>
        <w:ind w:firstLine="420"/>
        <w:jc w:val="both"/>
        <w:rPr>
          <w:rFonts w:hint="eastAsia" w:ascii="仿宋" w:hAnsi="仿宋" w:eastAsia="仿宋" w:cs="仿宋"/>
          <w:color w:val="484848"/>
          <w:sz w:val="32"/>
          <w:szCs w:val="32"/>
        </w:rPr>
      </w:pPr>
      <w:r>
        <w:rPr>
          <w:rFonts w:hint="eastAsia" w:ascii="仿宋" w:hAnsi="仿宋" w:eastAsia="仿宋" w:cs="仿宋"/>
          <w:b/>
          <w:bCs/>
          <w:color w:val="484848"/>
          <w:sz w:val="32"/>
          <w:szCs w:val="32"/>
        </w:rPr>
        <w:t>（二）统筹协同。</w:t>
      </w:r>
      <w:r>
        <w:rPr>
          <w:rFonts w:hint="eastAsia" w:ascii="仿宋" w:hAnsi="仿宋" w:eastAsia="仿宋" w:cs="仿宋"/>
          <w:color w:val="484848"/>
          <w:sz w:val="32"/>
          <w:szCs w:val="32"/>
        </w:rPr>
        <w:t>坚持总体谋划，多方参与，技术与管理协同的共建共治共享理念，充分发挥各方优势和信息化手段，探索建立中国特色的药品临床综合评价标准规范、路径流程和工作机制。</w:t>
      </w:r>
    </w:p>
    <w:p>
      <w:pPr>
        <w:pStyle w:val="7"/>
        <w:spacing w:before="0" w:beforeAutospacing="0" w:after="0" w:afterAutospacing="0" w:line="600" w:lineRule="exact"/>
        <w:ind w:firstLine="420"/>
        <w:jc w:val="both"/>
        <w:rPr>
          <w:rFonts w:hint="eastAsia" w:ascii="仿宋" w:hAnsi="仿宋" w:eastAsia="仿宋" w:cs="仿宋"/>
          <w:color w:val="484848"/>
          <w:sz w:val="32"/>
          <w:szCs w:val="32"/>
        </w:rPr>
      </w:pPr>
      <w:r>
        <w:rPr>
          <w:rFonts w:hint="eastAsia" w:ascii="仿宋" w:hAnsi="仿宋" w:eastAsia="仿宋" w:cs="仿宋"/>
          <w:b/>
          <w:bCs/>
          <w:color w:val="484848"/>
          <w:sz w:val="32"/>
          <w:szCs w:val="32"/>
        </w:rPr>
        <w:t>（三）科学规范。</w:t>
      </w:r>
      <w:r>
        <w:rPr>
          <w:rFonts w:hint="eastAsia" w:ascii="仿宋" w:hAnsi="仿宋" w:eastAsia="仿宋" w:cs="仿宋"/>
          <w:color w:val="484848"/>
          <w:sz w:val="32"/>
          <w:szCs w:val="32"/>
        </w:rPr>
        <w:t>立足国情实际，突出药品疗效证据和药品供应保障政策评价，总结参考国际有益经验和成功实践，合理借鉴评价模式方法、技术流程和工具，融合多学科专业知识体系，通过建立完善评价规则和技术标准与规范，有序指导药品临床综合评价的开展。</w:t>
      </w:r>
    </w:p>
    <w:p>
      <w:pPr>
        <w:pStyle w:val="7"/>
        <w:spacing w:before="0" w:beforeAutospacing="0" w:after="0" w:afterAutospacing="0" w:line="600" w:lineRule="exact"/>
        <w:ind w:firstLine="420"/>
        <w:jc w:val="both"/>
        <w:rPr>
          <w:rFonts w:hint="eastAsia" w:ascii="仿宋" w:hAnsi="仿宋" w:eastAsia="仿宋" w:cs="仿宋"/>
          <w:color w:val="484848"/>
          <w:sz w:val="32"/>
          <w:szCs w:val="32"/>
        </w:rPr>
      </w:pPr>
      <w:r>
        <w:rPr>
          <w:rFonts w:hint="eastAsia" w:ascii="仿宋" w:hAnsi="仿宋" w:eastAsia="仿宋" w:cs="仿宋"/>
          <w:b/>
          <w:bCs/>
          <w:color w:val="484848"/>
          <w:sz w:val="32"/>
          <w:szCs w:val="32"/>
        </w:rPr>
        <w:t>（四）公正透明。</w:t>
      </w:r>
      <w:r>
        <w:rPr>
          <w:rFonts w:hint="eastAsia" w:ascii="仿宋" w:hAnsi="仿宋" w:eastAsia="仿宋" w:cs="仿宋"/>
          <w:color w:val="484848"/>
          <w:sz w:val="32"/>
          <w:szCs w:val="32"/>
        </w:rPr>
        <w:t>坚持利益相关主体共同参与，建立信息公开、数据共享的评价实施、质量控制和应用转化机制，防范潜在利益冲突，保障评价组织、管理、实施过程和结果公平公正，依法依规公开。</w:t>
      </w:r>
    </w:p>
    <w:p>
      <w:pPr>
        <w:pStyle w:val="3"/>
        <w:keepNext w:val="0"/>
        <w:keepLines w:val="0"/>
        <w:widowControl/>
        <w:spacing w:before="0" w:after="0" w:line="600" w:lineRule="exact"/>
        <w:rPr>
          <w:rFonts w:hint="eastAsia" w:ascii="黑体" w:hAnsi="黑体" w:cs="微软雅黑"/>
          <w:color w:val="484848"/>
          <w:szCs w:val="32"/>
        </w:rPr>
      </w:pPr>
      <w:r>
        <w:rPr>
          <w:rFonts w:hint="eastAsia" w:ascii="黑体" w:hAnsi="黑体" w:cs="仿宋"/>
          <w:color w:val="484848"/>
          <w:szCs w:val="32"/>
        </w:rPr>
        <w:t>　　</w:t>
      </w:r>
      <w:r>
        <w:rPr>
          <w:rFonts w:hint="eastAsia" w:ascii="黑体" w:hAnsi="黑体" w:cs="微软雅黑"/>
          <w:b w:val="0"/>
          <w:color w:val="484848"/>
          <w:szCs w:val="32"/>
        </w:rPr>
        <w:t>三、适用参考范围</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本指南主要用于国家和省级卫生健康部门基于遴选疾病防治基本用药、拟定重大疾病防治基本用药政策、加强药品供应管理等决策目的，组织开展的药品临床综合评价活动。同时，为医疗卫生机构、科研院所、大专院校、行业学（协）会等主体开展药品临床综合评价活动提供管理规范和流程指引。</w:t>
      </w:r>
    </w:p>
    <w:p>
      <w:pPr>
        <w:pStyle w:val="2"/>
        <w:widowControl/>
        <w:spacing w:line="600" w:lineRule="exact"/>
        <w:ind w:left="0" w:right="0"/>
        <w:rPr>
          <w:rFonts w:hint="eastAsia" w:ascii="仿宋" w:hAnsi="仿宋" w:eastAsia="仿宋" w:cs="微软雅黑"/>
          <w:b/>
          <w:color w:val="676767"/>
          <w:sz w:val="32"/>
          <w:szCs w:val="32"/>
        </w:rPr>
      </w:pPr>
      <w:r>
        <w:rPr>
          <w:rFonts w:hint="eastAsia" w:ascii="仿宋" w:hAnsi="仿宋" w:eastAsia="仿宋" w:cs="仿宋"/>
          <w:b/>
          <w:bCs/>
          <w:color w:val="484848"/>
          <w:sz w:val="32"/>
          <w:szCs w:val="32"/>
        </w:rPr>
        <w:br w:type="textWrapping"/>
      </w:r>
      <w:r>
        <w:rPr>
          <w:rFonts w:hint="eastAsia" w:ascii="仿宋" w:hAnsi="仿宋" w:eastAsia="仿宋" w:cs="微软雅黑"/>
          <w:b/>
          <w:color w:val="484848"/>
          <w:sz w:val="32"/>
          <w:szCs w:val="32"/>
        </w:rPr>
        <w:t>第二章</w:t>
      </w:r>
      <w:r>
        <w:rPr>
          <w:rFonts w:hint="eastAsia" w:ascii="仿宋" w:hAnsi="仿宋" w:eastAsia="仿宋" w:cs="微软雅黑"/>
          <w:b/>
          <w:color w:val="484848"/>
          <w:sz w:val="32"/>
          <w:szCs w:val="32"/>
          <w:lang w:val="en-US" w:eastAsia="zh-CN"/>
        </w:rPr>
        <w:t xml:space="preserve">  </w:t>
      </w:r>
      <w:r>
        <w:rPr>
          <w:rFonts w:hint="eastAsia" w:ascii="仿宋" w:hAnsi="仿宋" w:eastAsia="仿宋" w:cs="黑体"/>
          <w:b/>
          <w:color w:val="484848"/>
          <w:sz w:val="32"/>
          <w:szCs w:val="32"/>
        </w:rPr>
        <w:t>评价流程、内容与维度</w:t>
      </w:r>
    </w:p>
    <w:p>
      <w:pPr>
        <w:widowControl/>
        <w:spacing w:line="600" w:lineRule="exact"/>
        <w:jc w:val="left"/>
        <w:rPr>
          <w:rFonts w:hint="eastAsia" w:ascii="仿宋" w:hAnsi="仿宋" w:eastAsia="仿宋" w:cs="微软雅黑"/>
          <w:color w:val="484848"/>
          <w:sz w:val="32"/>
          <w:szCs w:val="32"/>
        </w:rPr>
      </w:pP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药品临床综合评价重点围绕药品使用与供应保障体系关键决策要素开展，聚焦临床实际用药问题及其涉及的药物政策决策问题，选择适宜的评估理论框架、方法和工具，收集分析药品使用与供应等相关环节数据及信息，综合评估药品临床使用和药物政策实际执行效果。</w:t>
      </w:r>
    </w:p>
    <w:p>
      <w:pPr>
        <w:pStyle w:val="7"/>
        <w:spacing w:before="0" w:beforeAutospacing="0" w:after="0" w:afterAutospacing="0" w:line="600" w:lineRule="exact"/>
        <w:ind w:firstLine="640" w:firstLineChars="200"/>
        <w:jc w:val="both"/>
        <w:rPr>
          <w:rFonts w:hint="eastAsia" w:ascii="黑体" w:hAnsi="黑体" w:eastAsia="黑体" w:cs="微软雅黑"/>
          <w:color w:val="484848"/>
          <w:sz w:val="32"/>
          <w:szCs w:val="32"/>
        </w:rPr>
      </w:pPr>
      <w:r>
        <w:rPr>
          <w:rFonts w:hint="eastAsia" w:ascii="黑体" w:hAnsi="黑体" w:eastAsia="黑体" w:cs="微软雅黑"/>
          <w:color w:val="484848"/>
          <w:sz w:val="32"/>
          <w:szCs w:val="32"/>
        </w:rPr>
        <w:t>一、评价流程</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药品临床综合评价的完整流程包括主题遴选、评价实施和结果应用转化三个基本环节，评价实施包括项目委托、质量控制、结果递交及验收（下图）。</w:t>
      </w:r>
    </w:p>
    <w:p>
      <w:pPr>
        <w:pStyle w:val="7"/>
        <w:spacing w:before="0" w:beforeAutospacing="0" w:after="0" w:afterAutospacing="0" w:line="600" w:lineRule="exact"/>
        <w:jc w:val="both"/>
        <w:rPr>
          <w:rFonts w:hint="eastAsia" w:ascii="仿宋" w:hAnsi="仿宋" w:eastAsia="仿宋" w:cs="仿宋"/>
          <w:color w:val="484848"/>
          <w:sz w:val="32"/>
          <w:szCs w:val="32"/>
        </w:rPr>
      </w:pPr>
      <w:r>
        <w:rPr>
          <w:rFonts w:hint="eastAsia" w:ascii="仿宋" w:hAnsi="仿宋" w:eastAsia="仿宋" w:cs="仿宋"/>
          <w:color w:val="484848"/>
          <w:sz w:val="32"/>
          <w:szCs w:val="32"/>
        </w:rPr>
        <w:t> </w:t>
      </w:r>
    </w:p>
    <w:p>
      <w:pPr>
        <w:pStyle w:val="7"/>
        <w:spacing w:before="0" w:beforeAutospacing="0" w:after="0" w:afterAutospacing="0"/>
        <w:jc w:val="center"/>
        <w:rPr>
          <w:rFonts w:hint="eastAsia" w:ascii="仿宋" w:hAnsi="仿宋" w:eastAsia="仿宋" w:cs="仿宋"/>
          <w:color w:val="484848"/>
          <w:sz w:val="32"/>
          <w:szCs w:val="32"/>
        </w:rPr>
      </w:pPr>
      <w:r>
        <w:rPr>
          <w:rFonts w:ascii="仿宋" w:hAnsi="仿宋" w:eastAsia="仿宋"/>
          <w:sz w:val="32"/>
          <w:szCs w:val="32"/>
        </w:rPr>
        <w:drawing>
          <wp:inline distT="0" distB="0" distL="114300" distR="114300">
            <wp:extent cx="5269230" cy="3185795"/>
            <wp:effectExtent l="0" t="0" r="762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9230" cy="3185795"/>
                    </a:xfrm>
                    <a:prstGeom prst="rect">
                      <a:avLst/>
                    </a:prstGeom>
                    <a:noFill/>
                    <a:ln w="9525">
                      <a:noFill/>
                    </a:ln>
                  </pic:spPr>
                </pic:pic>
              </a:graphicData>
            </a:graphic>
          </wp:inline>
        </w:drawing>
      </w:r>
    </w:p>
    <w:p>
      <w:pPr>
        <w:pStyle w:val="7"/>
        <w:spacing w:before="0" w:beforeAutospacing="0" w:after="0" w:afterAutospacing="0" w:line="600" w:lineRule="exact"/>
        <w:jc w:val="center"/>
        <w:rPr>
          <w:rFonts w:hint="eastAsia" w:ascii="仿宋" w:hAnsi="仿宋" w:eastAsia="仿宋" w:cs="仿宋"/>
          <w:color w:val="484848"/>
          <w:sz w:val="32"/>
          <w:szCs w:val="32"/>
        </w:rPr>
      </w:pPr>
      <w:r>
        <w:rPr>
          <w:rFonts w:hint="eastAsia" w:ascii="仿宋" w:hAnsi="仿宋" w:eastAsia="仿宋" w:cs="仿宋"/>
          <w:color w:val="484848"/>
          <w:sz w:val="32"/>
          <w:szCs w:val="32"/>
        </w:rPr>
        <w:t>评价流程简图</w:t>
      </w:r>
    </w:p>
    <w:p>
      <w:pPr>
        <w:pStyle w:val="7"/>
        <w:spacing w:before="0" w:beforeAutospacing="0" w:after="0" w:afterAutospacing="0" w:line="600" w:lineRule="exact"/>
        <w:ind w:firstLine="420"/>
        <w:jc w:val="both"/>
        <w:rPr>
          <w:rFonts w:hint="eastAsia" w:ascii="仿宋" w:hAnsi="仿宋" w:eastAsia="仿宋" w:cs="仿宋"/>
          <w:color w:val="484848"/>
          <w:sz w:val="32"/>
          <w:szCs w:val="32"/>
        </w:rPr>
      </w:pP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药品临床综合评价组织管理和技术实施机构应当协同加强工作统筹、信息沟通和技术交流，推动建立主题遴选、质量控制、专家咨询和结果转化等工作制度，因地制宜组织开展所承担评价的具体任务。充分发挥各级各类医疗卫生机构、科研院所、大专院校和行业学（协）会等专业优势，研制评估技术规范，加强业务培训，探索建立跨省份、多中心真实世界数据规范采集和平行技术评估机制。评价主题主要包括国家重大疾病防治基本用药、区域重要疾病防治基本用药和医疗卫生机构用药等，兼顾特殊用药等其他主题。国家重大疾病防治基本用药主题由药具中心联合评估中心进行遴选，区域重要疾病防治基本用药主题由省级卫生健康部门进行遴选。</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鼓励国家医学中心、国家区域医疗中心和省级区域医疗中心及医疗卫生机构自主或牵头搭建工作团队，建立技术咨询和专题培训制度，组织开展药品临床综合评价工作。牵头单位依托评价协作网络，结合基础积累和技术特长，汇总疾病负担、基本用药需求、药品费用、分级诊疗服务体系影响等综合信息，并与国家、区域主题相衔接，确定主要选题及其相应参比对象，经参与医疗卫生机构同意后按程序启动评价主题立项及评价工作。</w:t>
      </w:r>
    </w:p>
    <w:p>
      <w:pPr>
        <w:pStyle w:val="3"/>
        <w:keepNext w:val="0"/>
        <w:keepLines w:val="0"/>
        <w:widowControl/>
        <w:spacing w:before="0" w:after="0" w:line="600" w:lineRule="exact"/>
        <w:rPr>
          <w:rFonts w:hint="eastAsia" w:ascii="黑体" w:hAnsi="黑体" w:cs="微软雅黑"/>
          <w:color w:val="484848"/>
          <w:szCs w:val="32"/>
        </w:rPr>
      </w:pPr>
      <w:r>
        <w:rPr>
          <w:rFonts w:hint="eastAsia" w:ascii="仿宋" w:hAnsi="仿宋" w:eastAsia="仿宋" w:cs="仿宋"/>
          <w:color w:val="484848"/>
          <w:szCs w:val="32"/>
        </w:rPr>
        <w:t>　</w:t>
      </w:r>
      <w:r>
        <w:rPr>
          <w:rFonts w:hint="eastAsia" w:ascii="黑体" w:hAnsi="黑体" w:cs="微软雅黑"/>
          <w:b w:val="0"/>
          <w:color w:val="484848"/>
          <w:szCs w:val="32"/>
        </w:rPr>
        <w:t>　二、评价内容</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药品临床综合评价是评价主体应用多种评价方法和工具开展的多维度、多层次证据的综合评判。评价主要聚焦药品临床使用实践中的重大技术问题和政策问题，围绕技术评价与政策评价两条主线，从安全性、有效性、经济性、创新性、适宜性、可及性6个维度开展科学规范的定性定量相结合的数据整合分析与综合研判，提出国家、区域和医疗卫生机构等疾病防治基本用药供应保障与使用的政策建议。</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评价主体的主要工作内容包括：开展相关药品临床使用证据、药物政策信息收集和综合分析，组织实施技术评价、药物政策评估和撰写评价报告等。</w:t>
      </w:r>
    </w:p>
    <w:p>
      <w:pPr>
        <w:pStyle w:val="7"/>
        <w:spacing w:before="0" w:beforeAutospacing="0" w:after="0" w:afterAutospacing="0" w:line="600" w:lineRule="exact"/>
        <w:ind w:firstLine="640" w:firstLineChars="200"/>
        <w:jc w:val="both"/>
        <w:rPr>
          <w:rFonts w:hint="eastAsia" w:ascii="黑体" w:hAnsi="黑体" w:eastAsia="黑体" w:cs="微软雅黑"/>
          <w:color w:val="484848"/>
          <w:sz w:val="32"/>
          <w:szCs w:val="32"/>
        </w:rPr>
      </w:pPr>
      <w:r>
        <w:rPr>
          <w:rFonts w:hint="eastAsia" w:ascii="黑体" w:hAnsi="黑体" w:eastAsia="黑体" w:cs="微软雅黑"/>
          <w:color w:val="484848"/>
          <w:sz w:val="32"/>
          <w:szCs w:val="32"/>
        </w:rPr>
        <w:t>三、评价维度</w:t>
      </w:r>
    </w:p>
    <w:p>
      <w:pPr>
        <w:pStyle w:val="4"/>
        <w:keepNext w:val="0"/>
        <w:keepLines w:val="0"/>
        <w:widowControl/>
        <w:spacing w:before="0" w:after="0" w:line="600" w:lineRule="exact"/>
        <w:rPr>
          <w:rFonts w:hint="eastAsia" w:ascii="仿宋" w:hAnsi="仿宋" w:eastAsia="仿宋" w:cs="微软雅黑"/>
          <w:color w:val="484848"/>
          <w:szCs w:val="32"/>
        </w:rPr>
      </w:pPr>
      <w:r>
        <w:rPr>
          <w:rFonts w:hint="eastAsia" w:ascii="仿宋" w:hAnsi="仿宋" w:eastAsia="仿宋" w:cs="仿宋"/>
          <w:bCs/>
          <w:color w:val="484848"/>
          <w:szCs w:val="32"/>
        </w:rPr>
        <w:t>　　（一）安全性评价。</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综合分析药品上市前后安全性信息结果。纳入评价信息包括：药物临床试验数据、药品说明书内容、不良反应、不良事件等信息，相对安全性（与同类产品比较），药品质量、药品疗效稳定性等信息。</w:t>
      </w:r>
    </w:p>
    <w:p>
      <w:pPr>
        <w:pStyle w:val="4"/>
        <w:keepNext w:val="0"/>
        <w:keepLines w:val="0"/>
        <w:widowControl/>
        <w:spacing w:before="0" w:after="0" w:line="600" w:lineRule="exact"/>
        <w:rPr>
          <w:rFonts w:hint="eastAsia" w:ascii="仿宋" w:hAnsi="仿宋" w:eastAsia="仿宋" w:cs="微软雅黑"/>
          <w:color w:val="484848"/>
          <w:szCs w:val="32"/>
        </w:rPr>
      </w:pPr>
      <w:r>
        <w:rPr>
          <w:rFonts w:hint="eastAsia" w:ascii="仿宋" w:hAnsi="仿宋" w:eastAsia="仿宋" w:cs="仿宋"/>
          <w:bCs/>
          <w:color w:val="484848"/>
          <w:szCs w:val="32"/>
        </w:rPr>
        <w:t>　　（二）有效性评价。</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通过定量分析，对拟评价药品及参比药品的临床效果进行人群测量，判断是否获得重要的健康收益。核心指标主要包括生存时长和生命质量两大类，生存时长相关指标包括生存率、疾病控制率以及其他能够反映疾病进展的可测量指标；生命质量相关指标包括健康相关生命质量和健康效用值，亦可进一步用质量调整生命年（QALY）进行评价。根据不同疾病或治疗领域可设定针对性的有效性评价核心指标。开展临床效果分析的数据应来源于所有当前可获得的质量最佳的相关研究证据和真实世界数据，必要时应分析亚组患者效果数据，同时重视参比药品的选择及效果比较分析。综合利用现有国家、区域或省级大型数据库等真实世界数据资源，规范开展基于真实世界数据研究的分析测量，利用规范严谨的方法，在可接受的不确定性范围内实现临床实际用药效果的测量及判断。</w:t>
      </w:r>
    </w:p>
    <w:p>
      <w:pPr>
        <w:pStyle w:val="4"/>
        <w:keepNext w:val="0"/>
        <w:keepLines w:val="0"/>
        <w:widowControl/>
        <w:spacing w:before="0" w:after="0" w:line="600" w:lineRule="exact"/>
        <w:rPr>
          <w:rFonts w:hint="eastAsia" w:ascii="仿宋" w:hAnsi="仿宋" w:eastAsia="仿宋" w:cs="微软雅黑"/>
          <w:color w:val="484848"/>
          <w:szCs w:val="32"/>
        </w:rPr>
      </w:pPr>
      <w:r>
        <w:rPr>
          <w:rFonts w:hint="eastAsia" w:ascii="仿宋" w:hAnsi="仿宋" w:eastAsia="仿宋" w:cs="仿宋"/>
          <w:bCs/>
          <w:color w:val="484848"/>
          <w:szCs w:val="32"/>
        </w:rPr>
        <w:t>　　（三）经济性评价。</w:t>
      </w:r>
    </w:p>
    <w:p>
      <w:pPr>
        <w:pStyle w:val="4"/>
        <w:keepNext w:val="0"/>
        <w:keepLines w:val="0"/>
        <w:widowControl/>
        <w:spacing w:before="0" w:after="0" w:line="600" w:lineRule="exact"/>
        <w:rPr>
          <w:rFonts w:hint="eastAsia" w:ascii="仿宋" w:hAnsi="仿宋" w:eastAsia="仿宋" w:cs="微软雅黑"/>
          <w:color w:val="484848"/>
          <w:szCs w:val="32"/>
        </w:rPr>
      </w:pPr>
      <w:r>
        <w:rPr>
          <w:rFonts w:hint="eastAsia" w:ascii="仿宋" w:hAnsi="仿宋" w:eastAsia="仿宋" w:cs="仿宋"/>
          <w:color w:val="484848"/>
          <w:szCs w:val="32"/>
        </w:rPr>
        <w:t>　　</w:t>
      </w:r>
      <w:r>
        <w:rPr>
          <w:rFonts w:hint="eastAsia" w:ascii="仿宋" w:hAnsi="仿宋" w:eastAsia="仿宋" w:cs="仿宋"/>
          <w:b w:val="0"/>
          <w:color w:val="484848"/>
          <w:szCs w:val="32"/>
        </w:rPr>
        <w:t>综合运用流行病与卫生统计学、决策学、经济学等多学科理论及方法，分析测算药品的成本、效果、效用和效益等。同时，强化增量分析及不确定性分析，必要时进行卫生相关预算影响分析，全面判断药品临床应用的经济价值及影响。根据药品决策的具体需求，可选择开展成本-效果分析（CEA）、成本-效用分析（CUA）、成本-效益分析（CBA）、最小成本分析（CMA）等，在条件允许的情况下优先推荐开展成本-效用分析。充分利用基于二手证据的系统评价结果及真实世界中的治疗模式构建分析模型，重视基于我国人群循证结果的经济性研究，选择最佳可获得数据作为模型参数。 </w:t>
      </w:r>
    </w:p>
    <w:p>
      <w:pPr>
        <w:pStyle w:val="4"/>
        <w:keepNext w:val="0"/>
        <w:keepLines w:val="0"/>
        <w:widowControl/>
        <w:spacing w:before="0" w:after="0" w:line="600" w:lineRule="exact"/>
        <w:rPr>
          <w:rFonts w:hint="eastAsia" w:ascii="仿宋" w:hAnsi="仿宋" w:eastAsia="仿宋" w:cs="微软雅黑"/>
          <w:color w:val="484848"/>
          <w:szCs w:val="32"/>
        </w:rPr>
      </w:pPr>
      <w:r>
        <w:rPr>
          <w:rFonts w:hint="eastAsia" w:ascii="仿宋" w:hAnsi="仿宋" w:eastAsia="仿宋" w:cs="仿宋"/>
          <w:bCs/>
          <w:color w:val="484848"/>
          <w:szCs w:val="32"/>
        </w:rPr>
        <w:t>　　（四）创新性评价。</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通过分析判断药品与参比药品满足临床需求程度、鼓励国产原研创新等情况，进行药品的创新性评价。开展创新性评价，应当突出填补临床治疗空白，解决临床未满足的需求，满足患者急需诊疗需求和推动国内自主研发等创新价值判断。</w:t>
      </w:r>
    </w:p>
    <w:p>
      <w:pPr>
        <w:pStyle w:val="4"/>
        <w:keepNext w:val="0"/>
        <w:keepLines w:val="0"/>
        <w:widowControl/>
        <w:spacing w:before="0" w:after="0" w:line="600" w:lineRule="exact"/>
        <w:rPr>
          <w:rFonts w:hint="eastAsia" w:ascii="仿宋" w:hAnsi="仿宋" w:eastAsia="仿宋" w:cs="微软雅黑"/>
          <w:color w:val="484848"/>
          <w:szCs w:val="32"/>
        </w:rPr>
      </w:pPr>
      <w:r>
        <w:rPr>
          <w:rFonts w:hint="eastAsia" w:ascii="仿宋" w:hAnsi="仿宋" w:eastAsia="仿宋" w:cs="仿宋"/>
          <w:bCs/>
          <w:color w:val="484848"/>
          <w:szCs w:val="32"/>
        </w:rPr>
        <w:t>　　（五）适宜性评价。</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适宜性评价重点包括药品技术特点适宜性和药品使用适宜性。药品技术特点适宜性可从药品标签标注、药品说明书、储存条件等方面进行评价；药品使用适宜性主要包括适应证是否适宜、患者服药时间间隔是否恰当，用药疗程长短是否符合患者、疾病和药品药理特点，临床使用是否符合用药指南规范等。同时从分级诊疗等卫生健康服务体系的视角研判上下级医疗卫生机构药品衔接和患者福利及社会价值的影响。</w:t>
      </w:r>
    </w:p>
    <w:p>
      <w:pPr>
        <w:pStyle w:val="4"/>
        <w:keepNext w:val="0"/>
        <w:keepLines w:val="0"/>
        <w:widowControl/>
        <w:spacing w:before="0" w:after="0" w:line="600" w:lineRule="exact"/>
        <w:rPr>
          <w:rFonts w:hint="eastAsia" w:ascii="仿宋" w:hAnsi="仿宋" w:eastAsia="仿宋" w:cs="微软雅黑"/>
          <w:color w:val="484848"/>
          <w:szCs w:val="32"/>
        </w:rPr>
      </w:pPr>
      <w:r>
        <w:rPr>
          <w:rFonts w:hint="eastAsia" w:ascii="仿宋" w:hAnsi="仿宋" w:eastAsia="仿宋" w:cs="仿宋"/>
          <w:bCs/>
          <w:color w:val="484848"/>
          <w:szCs w:val="32"/>
        </w:rPr>
        <w:t>　　（六）可及性评价。</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参考WHO/HAI药物可及性标准化方法，主要涉及药品价格水平、可获得性和可负担性三个方面。药品价格水平可由国内药品采购价格与最近一年国际同类型药品价格比较获得，必要时应当了解医保报销情况以判断患者实际支付水平。可获得性可由医疗卫生机构药品配备使用情况或有无短缺情况等反映。可负担性可由人均年用药治疗费用占城乡居民家庭年可支配收入比重（%）体现。根据评价需要可从不同渠道获得相关支持信息，如药品生产、供应相关信息，医疗卫生机构药品使用数据，居民和患者代表意见等。</w:t>
      </w:r>
    </w:p>
    <w:p>
      <w:pPr>
        <w:pStyle w:val="2"/>
        <w:widowControl/>
        <w:spacing w:line="600" w:lineRule="exact"/>
        <w:ind w:left="0" w:right="0"/>
        <w:rPr>
          <w:rFonts w:hint="eastAsia" w:ascii="仿宋" w:hAnsi="仿宋" w:eastAsia="仿宋" w:cs="微软雅黑"/>
          <w:b/>
          <w:color w:val="676767"/>
          <w:sz w:val="32"/>
          <w:szCs w:val="32"/>
        </w:rPr>
      </w:pPr>
      <w:r>
        <w:rPr>
          <w:rFonts w:hint="eastAsia" w:ascii="仿宋" w:hAnsi="仿宋" w:eastAsia="仿宋" w:cs="仿宋"/>
          <w:b/>
          <w:bCs/>
          <w:color w:val="484848"/>
          <w:sz w:val="32"/>
          <w:szCs w:val="32"/>
        </w:rPr>
        <w:br w:type="textWrapping"/>
      </w:r>
      <w:r>
        <w:rPr>
          <w:rFonts w:hint="eastAsia" w:ascii="仿宋" w:hAnsi="仿宋" w:eastAsia="仿宋" w:cs="微软雅黑"/>
          <w:b/>
          <w:color w:val="484848"/>
          <w:sz w:val="32"/>
          <w:szCs w:val="32"/>
        </w:rPr>
        <w:t>第三章</w:t>
      </w:r>
      <w:r>
        <w:rPr>
          <w:rFonts w:hint="eastAsia" w:ascii="仿宋" w:hAnsi="仿宋" w:eastAsia="仿宋" w:cs="微软雅黑"/>
          <w:b/>
          <w:color w:val="484848"/>
          <w:sz w:val="32"/>
          <w:szCs w:val="32"/>
          <w:lang w:val="en-US" w:eastAsia="zh-CN"/>
        </w:rPr>
        <w:t xml:space="preserve">  </w:t>
      </w:r>
      <w:r>
        <w:rPr>
          <w:rFonts w:hint="eastAsia" w:ascii="仿宋" w:hAnsi="仿宋" w:eastAsia="仿宋" w:cs="黑体"/>
          <w:b/>
          <w:color w:val="484848"/>
          <w:sz w:val="32"/>
          <w:szCs w:val="32"/>
        </w:rPr>
        <w:t>证据评价与应用</w:t>
      </w:r>
    </w:p>
    <w:p>
      <w:pPr>
        <w:widowControl/>
        <w:spacing w:line="600" w:lineRule="exact"/>
        <w:jc w:val="left"/>
        <w:rPr>
          <w:rFonts w:hint="eastAsia" w:ascii="仿宋" w:hAnsi="仿宋" w:eastAsia="仿宋" w:cs="微软雅黑"/>
          <w:color w:val="484848"/>
          <w:sz w:val="32"/>
          <w:szCs w:val="32"/>
        </w:rPr>
      </w:pPr>
    </w:p>
    <w:p>
      <w:pPr>
        <w:pStyle w:val="3"/>
        <w:keepNext w:val="0"/>
        <w:keepLines w:val="0"/>
        <w:widowControl/>
        <w:spacing w:before="0" w:after="0" w:line="600" w:lineRule="exact"/>
        <w:rPr>
          <w:rFonts w:hint="eastAsia" w:ascii="黑体" w:hAnsi="黑体" w:cs="微软雅黑"/>
          <w:color w:val="484848"/>
          <w:szCs w:val="32"/>
        </w:rPr>
      </w:pPr>
      <w:r>
        <w:rPr>
          <w:rFonts w:hint="eastAsia" w:ascii="黑体" w:hAnsi="黑体" w:cs="仿宋"/>
          <w:color w:val="484848"/>
          <w:szCs w:val="32"/>
        </w:rPr>
        <w:t>　</w:t>
      </w:r>
      <w:r>
        <w:rPr>
          <w:rFonts w:hint="eastAsia" w:ascii="黑体" w:hAnsi="黑体" w:cs="微软雅黑"/>
          <w:color w:val="484848"/>
          <w:szCs w:val="32"/>
        </w:rPr>
        <w:t>　</w:t>
      </w:r>
      <w:r>
        <w:rPr>
          <w:rFonts w:hint="eastAsia" w:ascii="黑体" w:hAnsi="黑体" w:cs="微软雅黑"/>
          <w:b w:val="0"/>
          <w:color w:val="484848"/>
          <w:szCs w:val="32"/>
        </w:rPr>
        <w:t>一、证据信息与安全保护</w:t>
      </w:r>
    </w:p>
    <w:p>
      <w:pPr>
        <w:pStyle w:val="4"/>
        <w:keepNext w:val="0"/>
        <w:keepLines w:val="0"/>
        <w:widowControl/>
        <w:spacing w:before="0" w:after="0" w:line="600" w:lineRule="exact"/>
        <w:rPr>
          <w:rFonts w:hint="eastAsia" w:ascii="仿宋" w:hAnsi="仿宋" w:eastAsia="仿宋" w:cs="微软雅黑"/>
          <w:color w:val="484848"/>
          <w:szCs w:val="32"/>
        </w:rPr>
      </w:pPr>
      <w:r>
        <w:rPr>
          <w:rFonts w:hint="eastAsia" w:ascii="仿宋" w:hAnsi="仿宋" w:eastAsia="仿宋" w:cs="仿宋"/>
          <w:bCs/>
          <w:color w:val="484848"/>
          <w:szCs w:val="32"/>
        </w:rPr>
        <w:t>　　（一）基础信息平台。</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评估中心充分利用已有国家、区域及省级数据库的数据资源，包括人口健康数据、卫生信息系统数据、采购流通等市场数据、国家及地方药品使用监测数据、临床诊疗服务规范指南数据，建立完善国家药品临床综合评价基础信息平台（以下简称信息平台）。信息平台建立完善数据共建共享共用机制，省级相关机构结合本地数据资源情况，与国家平台建立数据和工作协同机制。</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信息平台覆盖主题遴选、评价研究设计、数据分析和评估、结果评价等全业务流程的重点环节，具备为数据交互管理等重点工作提供信息化支撑的功能。医疗卫生机构及第三方评估机构开展的自主选题评价项目，在自愿前提下鼓励其在信息平台进行成果交流发布，促进行业范围药品临床综合评价相关数据信息资源共享。</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对于涉及跨省份、多中心真实世界数据采集的国家及省级药品临床综合评价项目，相关省级组织管理机构应根据采集规范和数据安全保密要求，研究制定统筹本辖区居民健康数据、医疗卫生机构诊疗相关数据的数据收集方案，为评价工作顺利开展提供数据信息支持。同时，加强网络信息安全及隐私保护事项。</w:t>
      </w:r>
    </w:p>
    <w:p>
      <w:pPr>
        <w:pStyle w:val="4"/>
        <w:keepNext w:val="0"/>
        <w:keepLines w:val="0"/>
        <w:widowControl/>
        <w:spacing w:before="0" w:after="0" w:line="600" w:lineRule="exact"/>
        <w:rPr>
          <w:rFonts w:hint="eastAsia" w:ascii="仿宋" w:hAnsi="仿宋" w:eastAsia="仿宋" w:cs="微软雅黑"/>
          <w:color w:val="484848"/>
          <w:szCs w:val="32"/>
        </w:rPr>
      </w:pPr>
      <w:r>
        <w:rPr>
          <w:rFonts w:hint="eastAsia" w:ascii="仿宋" w:hAnsi="仿宋" w:eastAsia="仿宋" w:cs="仿宋"/>
          <w:bCs/>
          <w:color w:val="484848"/>
          <w:szCs w:val="32"/>
        </w:rPr>
        <w:t>　　（二）真实世界数据。</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药品临床综合评价应充分利用真实世界数据。真实世界数据是来源于医疗机构及其他相关专业机构日常所产生的各种与患者健康状况和（或）诊疗及保健有关的数据。</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当前我国药品临床应用相关的现有真实世界数据来源主要包括但不限于：医疗卫生机构信息系统、患者电子病历、个人健康档案、费用结算等卫生信息系统数据；出生死亡及疾病登记系统数据；药品不良反应监测数据；医学研究队列数据；社会药品服务机构数据以及患者自报或自评的健康相关数据。真实世界数据的获取，主要通过数据交换共享的方式实现。</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使用真实世界数据开展药品临床综合评价前，应当对数据适用性进行充分评估，围绕真实世界证据可以回答的临床与卫生健康政策问题，进行科学的研究设计和严谨的组织实施，获取相关、可靠、适宜的真实世界数据，进行恰当、充分、准确的分析后，形成药品临床应用安全性、有效性、经济性等相关证据。</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围绕基本用药决策需求，结合临床现实，规范、科学、合理地设计并实施临床研究，推动真实世界数据在临床综合评价中的使用并发挥其优势。参照药品审评真实世界研究相关实效性试验研究设计、观察性研究设计和其他非试验设计的推荐意见，定义疾病组别与药品特性密切相关的真实世界数据来源及分类标准，编制规范的药品临床综合评价数据集，定义采集范围、采集变量、采集方式等。充分依靠医院现有电子信息系统采集数据，确保数据采集的准确性、真实性和完整性。</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鼓励医疗卫生机构等药品临床综合评价主体建立相关审查监督制度，对数据获取、数据质量、分析过程、结果阐释等关键环节进行质控评估，强化科研伦理管理及患者隐私保护，尽量避免数据收集及分析偏倚，有效支持开展药品临床综合评价。</w:t>
      </w:r>
    </w:p>
    <w:p>
      <w:pPr>
        <w:pStyle w:val="4"/>
        <w:keepNext w:val="0"/>
        <w:keepLines w:val="0"/>
        <w:widowControl/>
        <w:spacing w:before="0" w:after="0" w:line="600" w:lineRule="exact"/>
        <w:rPr>
          <w:rFonts w:hint="eastAsia" w:ascii="仿宋" w:hAnsi="仿宋" w:eastAsia="仿宋" w:cs="微软雅黑"/>
          <w:color w:val="484848"/>
          <w:szCs w:val="32"/>
        </w:rPr>
      </w:pPr>
      <w:r>
        <w:rPr>
          <w:rFonts w:hint="eastAsia" w:ascii="仿宋" w:hAnsi="仿宋" w:eastAsia="仿宋" w:cs="仿宋"/>
          <w:bCs/>
          <w:color w:val="484848"/>
          <w:szCs w:val="32"/>
        </w:rPr>
        <w:t>　　（三）数据方法模型。</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根据药品技术评价和政策评价目标形成数据模块，充分发挥大数据、区块链等技术优势，确保数据在各个来源层面之间流转的标准化、完整性、可追溯性和一致性，对数据进行质量校验，为实现科学评价及决策分析提供数据与证据保障。依托评估中心、其他技术指导单位及重点医疗卫生机构，分类规范和标准化数据元，整合多来源、多类型、多中心的数据与证据，建设国家药品临床综合评价标准与方法，逐步形成全国药品临床综合评价模型、指标体系和标准化决策框架。</w:t>
      </w:r>
    </w:p>
    <w:p>
      <w:pPr>
        <w:pStyle w:val="4"/>
        <w:keepNext w:val="0"/>
        <w:keepLines w:val="0"/>
        <w:widowControl/>
        <w:spacing w:before="0" w:after="0" w:line="600" w:lineRule="exact"/>
        <w:rPr>
          <w:rFonts w:hint="eastAsia" w:ascii="仿宋" w:hAnsi="仿宋" w:eastAsia="仿宋" w:cs="微软雅黑"/>
          <w:color w:val="484848"/>
          <w:szCs w:val="32"/>
        </w:rPr>
      </w:pPr>
      <w:r>
        <w:rPr>
          <w:rFonts w:hint="eastAsia" w:ascii="仿宋" w:hAnsi="仿宋" w:eastAsia="仿宋" w:cs="仿宋"/>
          <w:bCs/>
          <w:color w:val="484848"/>
          <w:szCs w:val="32"/>
        </w:rPr>
        <w:t>　　（四）数据信息安全。</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坚持“谁主管谁负责、谁授权谁负责、谁使用谁负责”原则，加强评价过程中的数据收集、存储、使用、加工、传输、提供、公开等环节的安全管理。各评价任务承担机构应当建立健全相关信息网络安全管理制度、操作规程和技术规范，严格执行患者隐私保护和国家保密规定，构建可信的网络安全环境。任何单位和个人不得非法获取或泄露数据，未经国家及省级组织管理部门授权，不得擅自使用或发布国家及省级药品临床综合评价相关数据信息。各评价实施机构和人员对其组织实施评价工作任务范围内的数据、网络安全、个人信息保护和证据质量承担主体责任。</w:t>
      </w:r>
    </w:p>
    <w:p>
      <w:pPr>
        <w:pStyle w:val="3"/>
        <w:keepNext w:val="0"/>
        <w:keepLines w:val="0"/>
        <w:widowControl/>
        <w:spacing w:before="0" w:after="0" w:line="600" w:lineRule="exact"/>
        <w:rPr>
          <w:rFonts w:hint="eastAsia" w:ascii="黑体" w:hAnsi="黑体" w:cs="微软雅黑"/>
          <w:color w:val="484848"/>
          <w:szCs w:val="32"/>
        </w:rPr>
      </w:pPr>
      <w:r>
        <w:rPr>
          <w:rFonts w:hint="eastAsia" w:ascii="仿宋" w:hAnsi="仿宋" w:eastAsia="仿宋" w:cs="仿宋"/>
          <w:color w:val="484848"/>
          <w:szCs w:val="32"/>
        </w:rPr>
        <w:t>　　</w:t>
      </w:r>
      <w:r>
        <w:rPr>
          <w:rFonts w:hint="eastAsia" w:ascii="黑体" w:hAnsi="黑体" w:cs="微软雅黑"/>
          <w:b w:val="0"/>
          <w:color w:val="484848"/>
          <w:szCs w:val="32"/>
        </w:rPr>
        <w:t>二、评价质控与结果应用</w:t>
      </w:r>
    </w:p>
    <w:p>
      <w:pPr>
        <w:pStyle w:val="4"/>
        <w:keepNext w:val="0"/>
        <w:keepLines w:val="0"/>
        <w:widowControl/>
        <w:spacing w:before="0" w:after="0" w:line="600" w:lineRule="exact"/>
        <w:rPr>
          <w:rFonts w:hint="eastAsia" w:ascii="仿宋" w:hAnsi="仿宋" w:eastAsia="仿宋" w:cs="微软雅黑"/>
          <w:color w:val="484848"/>
          <w:szCs w:val="32"/>
        </w:rPr>
      </w:pPr>
      <w:r>
        <w:rPr>
          <w:rFonts w:hint="eastAsia" w:ascii="仿宋" w:hAnsi="仿宋" w:eastAsia="仿宋" w:cs="仿宋"/>
          <w:bCs/>
          <w:color w:val="484848"/>
          <w:szCs w:val="32"/>
        </w:rPr>
        <w:t>　　（一）质量控制。</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质量控制重点包括但不限于相关主体资质、组织流程合规性、方法学严谨性、数据可靠性及报告质量的核查等。推动建立健全质量控制结果反馈机制和全行业药品评价证据共建共享共用机制，综合利用已有药品评价数据和政策信息，开展证据质量分级和校验。</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充分发挥医疗卫生机构及其临床医师、药师等专业技术人员的质控主体作用。鼓励医疗卫生机构和符合要求的第三方评价机构等根据药品临床综合评价需求，对评价关键环节实施严谨、规范的质量控制，建立数据质量评估及结果质控机制。</w:t>
      </w:r>
    </w:p>
    <w:p>
      <w:pPr>
        <w:pStyle w:val="4"/>
        <w:keepNext w:val="0"/>
        <w:keepLines w:val="0"/>
        <w:widowControl/>
        <w:spacing w:before="0" w:after="0" w:line="600" w:lineRule="exact"/>
        <w:rPr>
          <w:rFonts w:hint="eastAsia" w:ascii="仿宋" w:hAnsi="仿宋" w:eastAsia="仿宋" w:cs="微软雅黑"/>
          <w:color w:val="484848"/>
          <w:szCs w:val="32"/>
        </w:rPr>
      </w:pPr>
      <w:r>
        <w:rPr>
          <w:rFonts w:hint="eastAsia" w:ascii="仿宋" w:hAnsi="仿宋" w:eastAsia="仿宋" w:cs="仿宋"/>
          <w:bCs/>
          <w:color w:val="484848"/>
          <w:szCs w:val="32"/>
        </w:rPr>
        <w:t>　　（二）推动评价结果应用。</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药品临床综合评价组织实施机构依照评价方案按流程对评价结果进行转化应用。</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区域和医疗卫生机构药品临床综合评价结果主要用于：1.医疗卫生机构药品采购与供应保障等；2.推动医疗卫生机构用药目录遴选和上下级医疗卫生机构用药目录衔接，提高药学服务和安全合理用药水平；3.控制不合理药品费用支出，提升卫生健康资源配置效率，优化药品使用结构；4.为完善国家药物政策提供参考。</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第三方评价机构药品临床综合评价结果可用于：1.丰富行业药品临床综合评价的实践，扩大文献证据储备；2.推动科研领域对于药品临床综合评价理论及方法的深入探索。</w:t>
      </w:r>
    </w:p>
    <w:p>
      <w:pPr>
        <w:pStyle w:val="4"/>
        <w:keepNext w:val="0"/>
        <w:keepLines w:val="0"/>
        <w:widowControl/>
        <w:spacing w:before="0" w:after="0" w:line="600" w:lineRule="exact"/>
        <w:rPr>
          <w:rFonts w:hint="eastAsia" w:ascii="仿宋" w:hAnsi="仿宋" w:eastAsia="仿宋" w:cs="微软雅黑"/>
          <w:color w:val="484848"/>
          <w:szCs w:val="32"/>
        </w:rPr>
      </w:pPr>
      <w:r>
        <w:rPr>
          <w:rFonts w:hint="eastAsia" w:ascii="仿宋" w:hAnsi="仿宋" w:eastAsia="仿宋" w:cs="仿宋"/>
          <w:bCs/>
          <w:color w:val="484848"/>
          <w:szCs w:val="32"/>
        </w:rPr>
        <w:t>　　（三）评价结果优化完善。</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药品临床综合评价实施机构应持续跟踪已完成评价药品的实际供应与应用情况，不断累积相关数据验证评价结果。长期用药持续跟踪时间根据疾病或病情而定，通常不少于1年。针对有调整需求的国家及省级药品临床综合评价结果，委托项目主要承担机构结合特定领域政策需要及国内外评估机构证据更新情况，适时开展证据优化和结果更新。</w:t>
      </w: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国家及省级药品临床综合评价的证据优化及结果更新，应当由有关部门及医疗卫生机构结合药品临床应用监测等相关评价研究数据，提出证据核查或更新的书面请示，经牵头组织机构委托开展咨询论证后，确定是否启动有关工作。</w:t>
      </w:r>
    </w:p>
    <w:p>
      <w:pPr>
        <w:pStyle w:val="2"/>
        <w:widowControl/>
        <w:spacing w:line="600" w:lineRule="exact"/>
        <w:ind w:left="0" w:right="0"/>
        <w:rPr>
          <w:rFonts w:hint="eastAsia" w:ascii="仿宋" w:hAnsi="仿宋" w:eastAsia="仿宋" w:cs="微软雅黑"/>
          <w:b/>
          <w:color w:val="676767"/>
          <w:sz w:val="32"/>
          <w:szCs w:val="32"/>
        </w:rPr>
      </w:pPr>
      <w:r>
        <w:rPr>
          <w:rFonts w:hint="eastAsia" w:ascii="仿宋" w:hAnsi="仿宋" w:eastAsia="仿宋" w:cs="仿宋"/>
          <w:b/>
          <w:bCs/>
          <w:color w:val="484848"/>
          <w:sz w:val="32"/>
          <w:szCs w:val="32"/>
        </w:rPr>
        <w:br w:type="textWrapping"/>
      </w:r>
      <w:r>
        <w:rPr>
          <w:rFonts w:hint="eastAsia" w:ascii="仿宋" w:hAnsi="仿宋" w:eastAsia="仿宋" w:cs="微软雅黑"/>
          <w:b/>
          <w:color w:val="484848"/>
          <w:sz w:val="32"/>
          <w:szCs w:val="32"/>
        </w:rPr>
        <w:t>第四章</w:t>
      </w:r>
      <w:r>
        <w:rPr>
          <w:rFonts w:hint="eastAsia" w:ascii="仿宋" w:hAnsi="仿宋" w:eastAsia="仿宋" w:cs="微软雅黑"/>
          <w:b/>
          <w:color w:val="484848"/>
          <w:sz w:val="32"/>
          <w:szCs w:val="32"/>
          <w:lang w:val="en-US" w:eastAsia="zh-CN"/>
        </w:rPr>
        <w:t xml:space="preserve">  </w:t>
      </w:r>
      <w:r>
        <w:rPr>
          <w:rFonts w:hint="eastAsia" w:ascii="仿宋" w:hAnsi="仿宋" w:eastAsia="仿宋" w:cs="黑体"/>
          <w:b/>
          <w:color w:val="484848"/>
          <w:sz w:val="32"/>
          <w:szCs w:val="32"/>
        </w:rPr>
        <w:t>指南管理</w:t>
      </w:r>
    </w:p>
    <w:p>
      <w:pPr>
        <w:widowControl/>
        <w:spacing w:line="600" w:lineRule="exact"/>
        <w:jc w:val="left"/>
        <w:rPr>
          <w:rFonts w:hint="eastAsia" w:ascii="仿宋" w:hAnsi="仿宋" w:eastAsia="仿宋" w:cs="微软雅黑"/>
          <w:color w:val="484848"/>
          <w:sz w:val="32"/>
          <w:szCs w:val="32"/>
        </w:rPr>
      </w:pPr>
    </w:p>
    <w:p>
      <w:pPr>
        <w:pStyle w:val="7"/>
        <w:spacing w:before="0" w:beforeAutospacing="0" w:after="0" w:afterAutospacing="0" w:line="600" w:lineRule="exac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本指南为开展药品临床综合评价管理工作的依据，在实际应用中需要与相关疾病别药品评价专业技术指南构成系统、完整的评价指南体系，共同使用。疾病别药品临床综合评价技术指南的制订，由评估中心联合药具中心及相关技术指导单位按程序共同组织编制，分工协作，分类别撰写，集体审定，在充分征求各相关利益方意见的基础上，经修改、完善后发布，并按程序定期更新。</w:t>
      </w:r>
    </w:p>
    <w:p>
      <w:pPr>
        <w:pStyle w:val="7"/>
        <w:spacing w:before="0" w:beforeAutospacing="0" w:after="0" w:afterAutospacing="0" w:line="600" w:lineRule="exact"/>
        <w:ind w:firstLine="640" w:firstLineChars="200"/>
        <w:jc w:val="both"/>
      </w:pPr>
      <w:r>
        <w:rPr>
          <w:rFonts w:hint="eastAsia" w:ascii="仿宋" w:hAnsi="仿宋" w:eastAsia="仿宋" w:cs="仿宋"/>
          <w:color w:val="484848"/>
          <w:sz w:val="32"/>
          <w:szCs w:val="32"/>
        </w:rPr>
        <w:t>本指南自发布之日起施行，长期接受社会意见与建议，并定期组织修订完善。</w:t>
      </w:r>
    </w:p>
    <w:sectPr>
      <w:footerReference r:id="rId3" w:type="default"/>
      <w:pgSz w:w="11906" w:h="16838"/>
      <w:pgMar w:top="2041" w:right="1588" w:bottom="141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Luxi Sans">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大标宋_GBK">
    <w:altName w:val="宋体"/>
    <w:panose1 w:val="02000000000000000000"/>
    <w:charset w:val="86"/>
    <w:family w:val="script"/>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25</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5605F"/>
    <w:rsid w:val="5CB56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widowControl w:val="0"/>
      <w:autoSpaceDE w:val="0"/>
      <w:autoSpaceDN w:val="0"/>
      <w:ind w:left="73" w:right="223"/>
      <w:jc w:val="center"/>
      <w:outlineLvl w:val="0"/>
    </w:pPr>
    <w:rPr>
      <w:rFonts w:ascii="宋体" w:eastAsia="宋体" w:cs="宋体"/>
      <w:sz w:val="44"/>
      <w:szCs w:val="44"/>
      <w:lang w:val="en-US" w:eastAsia="zh-CN" w:bidi="ar-SA"/>
    </w:rPr>
  </w:style>
  <w:style w:type="paragraph" w:styleId="3">
    <w:name w:val="heading 2"/>
    <w:basedOn w:val="1"/>
    <w:next w:val="1"/>
    <w:unhideWhenUsed/>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unhideWhenUsed/>
    <w:qFormat/>
    <w:uiPriority w:val="0"/>
    <w:pPr>
      <w:keepNext/>
      <w:keepLines/>
      <w:widowControl w:val="0"/>
      <w:spacing w:before="260" w:after="260" w:line="415" w:lineRule="auto"/>
      <w:outlineLvl w:val="2"/>
    </w:pPr>
    <w:rPr>
      <w:b/>
      <w:sz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Body Text"/>
    <w:uiPriority w:val="0"/>
    <w:pPr>
      <w:widowControl w:val="0"/>
      <w:autoSpaceDE w:val="0"/>
      <w:autoSpaceDN w:val="0"/>
    </w:pPr>
    <w:rPr>
      <w:rFonts w:ascii="宋体" w:cs="宋体"/>
      <w:sz w:val="32"/>
      <w:szCs w:val="32"/>
      <w:lang w:val="en-US" w:eastAsia="zh-CN" w:bidi="ar-SA"/>
    </w:rPr>
  </w:style>
  <w:style w:type="paragraph" w:styleId="6">
    <w:name w:val="footer"/>
    <w:basedOn w:val="1"/>
    <w:uiPriority w:val="0"/>
    <w:pPr>
      <w:tabs>
        <w:tab w:val="center" w:pos="4153"/>
        <w:tab w:val="right" w:pos="8306"/>
      </w:tabs>
      <w:snapToGrid w:val="0"/>
      <w:jc w:val="left"/>
    </w:pPr>
    <w:rPr>
      <w:kern w:val="0"/>
      <w:sz w:val="18"/>
      <w:szCs w:val="18"/>
    </w:rPr>
  </w:style>
  <w:style w:type="paragraph" w:styleId="7">
    <w:name w:val="Normal (Web)"/>
    <w:basedOn w:val="1"/>
    <w:uiPriority w:val="0"/>
    <w:pPr>
      <w:widowControl/>
      <w:spacing w:before="100" w:beforeAutospacing="1" w:after="100" w:afterAutospacing="1"/>
      <w:jc w:val="left"/>
    </w:pPr>
    <w:rPr>
      <w:rFonts w:ascii="宋体" w:eastAsia="宋体" w:cs="宋体"/>
      <w:kern w:val="0"/>
      <w:sz w:val="24"/>
      <w:szCs w:val="24"/>
      <w:lang w:val="en-US" w:eastAsia="zh-CN" w:bidi="ar-SA"/>
    </w:rPr>
  </w:style>
  <w:style w:type="character" w:customStyle="1" w:styleId="10">
    <w:name w:val="样式 小二 Char"/>
    <w:link w:val="11"/>
    <w:qFormat/>
    <w:uiPriority w:val="0"/>
    <w:rPr>
      <w:rFonts w:ascii="方正大标宋_GBK" w:hAnsi="方正大标宋_GBK" w:cs="方正大标宋_GBK"/>
      <w:kern w:val="24"/>
      <w:sz w:val="36"/>
      <w:szCs w:val="36"/>
      <w:lang w:val="en-US" w:eastAsia="zh-CN" w:bidi="ar-SA"/>
    </w:rPr>
  </w:style>
  <w:style w:type="paragraph" w:customStyle="1" w:styleId="11">
    <w:name w:val="样式 小二"/>
    <w:link w:val="10"/>
    <w:qFormat/>
    <w:uiPriority w:val="0"/>
    <w:rPr>
      <w:rFonts w:ascii="方正大标宋_GBK" w:hAnsi="方正大标宋_GBK" w:cs="方正大标宋_GBK"/>
      <w:kern w:val="24"/>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2022-02-10T00:54:00Z</dcterms:created>
  <dc:creator>Administrator</dc:creator>
  <cp:lastModifiedBy>Administrator</cp:lastModifiedBy>
  <dcterms:modified xsi:type="dcterms:W3CDTF">2022-02-10T00:56:46Z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