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line="580" w:lineRule="exact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附件1</w:t>
      </w:r>
    </w:p>
    <w:tbl>
      <w:tblPr>
        <w:jc w:val="cent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600"/>
        <w:gridCol w:w="2645"/>
        <w:gridCol w:w="2410"/>
      </w:tblGrid>
      <w:tr>
        <w:trPr>
          <w:trHeight w:val="108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  <w:lang w:eastAsia="zh-CN"/>
              </w:rPr>
              <w:t>度</w:t>
            </w: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  <w:t>辽宁省乡村医生委托定向培养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</w:rPr>
              <w:t>名额表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  <w:t>地市名称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  <w:t>县（市）名称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b/>
                <w:bCs/>
                <w:color w:val="000000"/>
                <w:kern w:val="0"/>
                <w:sz w:val="32"/>
                <w:szCs w:val="32"/>
              </w:rPr>
              <w:t>分配人数</w:t>
            </w:r>
          </w:p>
        </w:tc>
      </w:tr>
      <w:tr>
        <w:trPr>
          <w:trHeight w:hRule="exact" w:val="68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大连市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普兰店区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rPr>
          <w:trHeight w:hRule="exact" w:val="680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庄河市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5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抚顺市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新宾满族自治县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1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本溪市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本溪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满族自治县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丹东市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宽甸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满族自治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2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锦州市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北镇市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铁岭市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开原市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盘锦市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盘山县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大洼区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1</w:t>
            </w: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葫芦岛市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绥中县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建昌县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兴城市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eastAsia="zh-CN"/>
              </w:rPr>
              <w:t>南票区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rPr>
          <w:trHeight w:hRule="exact"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</w:rPr>
              <w:t>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国标仿宋" w:eastAsia="国标仿宋" w:cs="国标仿宋" w:hAnsi="国标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国标仿宋" w:eastAsia="国标仿宋" w:cs="国标仿宋" w:hAnsi="国标仿宋" w:hint="eastAsia"/>
                <w:color w:val="000000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panose1 w:val="02000500000000000000"/>
    <w:charset w:val="86"/>
    <w:family w:val="auto"/>
    <w:pitch w:val="variable"/>
    <w:sig w:usb0="A00002BF" w:usb1="38C77CFA" w:usb2="00000016" w:usb3="00000000" w:csb0="00060007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DFA5D843-4198-4E70-918D-04737C18CB3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Yozo_Office9.0.7057.191ZH.S1</Application>
  <Pages>1</Pages>
  <Words>0</Words>
  <Characters>150</Characters>
  <Lines>0</Lines>
  <Paragraphs>3</Paragraphs>
  <CharactersWithSpaces>201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2026-05-28T09:37:45Z</dcterms:modified>
</cp:coreProperties>
</file>